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00" w:lineRule="auto"/>
        <w:ind w:firstLine="0" w:firstLineChars="0"/>
        <w:jc w:val="center"/>
        <w:rPr>
          <w:rFonts w:hint="eastAsia" w:ascii="微软雅黑" w:hAnsi="微软雅黑" w:eastAsia="微软雅黑" w:cs="微软雅黑"/>
          <w:b w:val="0"/>
          <w:bCs w:val="0"/>
          <w:color w:val="0000FF"/>
          <w:spacing w:val="9"/>
          <w:sz w:val="36"/>
        </w:rPr>
      </w:pPr>
      <w:bookmarkStart w:id="0" w:name="_Toc428273994"/>
      <w:bookmarkStart w:id="1" w:name="_Toc428274110"/>
      <w:bookmarkStart w:id="49" w:name="_GoBack"/>
      <w:r>
        <w:rPr>
          <w:rFonts w:hint="eastAsia" w:ascii="微软雅黑" w:hAnsi="微软雅黑" w:eastAsia="微软雅黑" w:cs="微软雅黑"/>
          <w:b w:val="0"/>
          <w:bCs w:val="0"/>
          <w:color w:val="0000FF"/>
          <w:spacing w:val="9"/>
          <w:sz w:val="36"/>
        </w:rPr>
        <w:t>国家临床医学研究中心五年</w:t>
      </w:r>
    </w:p>
    <w:p>
      <w:pPr>
        <w:topLinePunct/>
        <w:spacing w:line="300" w:lineRule="auto"/>
        <w:ind w:firstLine="0" w:firstLineChars="0"/>
        <w:jc w:val="center"/>
        <w:rPr>
          <w:rFonts w:hint="eastAsia" w:ascii="微软雅黑" w:hAnsi="微软雅黑" w:eastAsia="微软雅黑" w:cs="微软雅黑"/>
          <w:b w:val="0"/>
          <w:bCs w:val="0"/>
          <w:color w:val="0000FF"/>
          <w:spacing w:val="6"/>
          <w:sz w:val="36"/>
        </w:rPr>
      </w:pPr>
      <w:r>
        <w:rPr>
          <w:rFonts w:hint="eastAsia" w:ascii="微软雅黑" w:hAnsi="微软雅黑" w:eastAsia="微软雅黑" w:cs="微软雅黑"/>
          <w:b w:val="0"/>
          <w:bCs w:val="0"/>
          <w:color w:val="0000FF"/>
          <w:spacing w:val="6"/>
          <w:sz w:val="36"/>
        </w:rPr>
        <w:t>（2017-2021年）发展规划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color w:val="000000"/>
          <w:sz w:val="32"/>
          <w:szCs w:val="32"/>
        </w:rPr>
      </w:pPr>
      <w:r>
        <w:rPr>
          <w:rFonts w:hint="eastAsia" w:ascii="仿宋" w:hAnsi="仿宋" w:eastAsia="仿宋" w:cs="仿宋"/>
          <w:color w:val="000000"/>
          <w:sz w:val="32"/>
          <w:szCs w:val="32"/>
        </w:rPr>
        <w:t>国家临床医学研究中心（以下简称“中心”）由科技部会同国家卫生计生委、军委后勤保障部和食品药品监管总局共同开展建设，是面向我国疾病防治需求，以临床应用为导向，以医疗机构为主体，以协同网络为支撑，开展临床研究、协同创新、学术交流、人才培养、成果转化、推广应用的技术创新与成果转化类国家科技创新基地。</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color w:val="000000"/>
          <w:sz w:val="32"/>
          <w:szCs w:val="32"/>
        </w:rPr>
      </w:pPr>
      <w:r>
        <w:rPr>
          <w:rFonts w:hint="eastAsia" w:ascii="仿宋" w:hAnsi="仿宋" w:eastAsia="仿宋" w:cs="仿宋"/>
          <w:color w:val="000000"/>
          <w:sz w:val="32"/>
          <w:szCs w:val="32"/>
        </w:rPr>
        <w:t>为更好地推进中心建设发展，完善管理和强化支持，依据《“十三五”国家科技创新规划》，特制定本规划。</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2" w:name="_Toc474426558"/>
      <w:r>
        <w:rPr>
          <w:rFonts w:hint="eastAsia" w:ascii="仿宋" w:hAnsi="仿宋" w:eastAsia="仿宋" w:cs="仿宋"/>
          <w:sz w:val="32"/>
          <w:szCs w:val="32"/>
        </w:rPr>
        <w:t>一、现状与需求</w:t>
      </w:r>
      <w:bookmarkEnd w:id="0"/>
      <w:bookmarkEnd w:id="1"/>
      <w:bookmarkEnd w:id="2"/>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3" w:name="_Toc474426559"/>
      <w:bookmarkStart w:id="4" w:name="_Toc424843377"/>
      <w:bookmarkStart w:id="5" w:name="_Toc409937953"/>
      <w:bookmarkStart w:id="6" w:name="_Toc410071110"/>
      <w:bookmarkStart w:id="7" w:name="_Toc411531362"/>
      <w:bookmarkStart w:id="8" w:name="_Toc416796214"/>
      <w:bookmarkStart w:id="9" w:name="_Toc409937951"/>
      <w:bookmarkStart w:id="10" w:name="_Toc413337037"/>
      <w:bookmarkStart w:id="11" w:name="_Toc428274111"/>
      <w:bookmarkStart w:id="12" w:name="_Toc424843378"/>
      <w:bookmarkStart w:id="13" w:name="_Toc318668549"/>
      <w:bookmarkStart w:id="14" w:name="_Toc411531286"/>
      <w:bookmarkStart w:id="15" w:name="_Toc428273995"/>
      <w:bookmarkStart w:id="16" w:name="_Toc409937950"/>
      <w:bookmarkStart w:id="17" w:name="_Toc401336356"/>
      <w:bookmarkStart w:id="18" w:name="_Toc416190871"/>
      <w:bookmarkStart w:id="19" w:name="_Toc420010352"/>
      <w:r>
        <w:rPr>
          <w:rFonts w:hint="eastAsia" w:ascii="仿宋" w:hAnsi="仿宋" w:eastAsia="仿宋" w:cs="仿宋"/>
          <w:sz w:val="32"/>
          <w:szCs w:val="32"/>
        </w:rPr>
        <w:t>（一）建设现状</w:t>
      </w:r>
      <w:bookmarkEnd w:id="3"/>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color w:val="000000"/>
          <w:sz w:val="32"/>
          <w:szCs w:val="32"/>
        </w:rPr>
      </w:pPr>
      <w:r>
        <w:rPr>
          <w:rFonts w:hint="eastAsia" w:ascii="仿宋" w:hAnsi="仿宋" w:eastAsia="仿宋" w:cs="仿宋"/>
          <w:color w:val="000000"/>
          <w:sz w:val="32"/>
          <w:szCs w:val="32"/>
        </w:rPr>
        <w:t>长期以来，临床研究一直是我国医学科技发展的薄弱环节。为加强医学科技创新体系建设，打造一批临床医学和转化研究的“高地”，科技部会同原卫生部、原总后勤部卫生部于2012年启动了中心的建设工作。目前，分3个批次共布局建设了32家中心，形成了联合</w:t>
      </w:r>
      <w:r>
        <w:rPr>
          <w:rFonts w:hint="eastAsia" w:ascii="仿宋" w:hAnsi="仿宋" w:eastAsia="仿宋" w:cs="仿宋"/>
          <w:sz w:val="32"/>
          <w:szCs w:val="32"/>
        </w:rPr>
        <w:t>260个地级以上城市的</w:t>
      </w:r>
      <w:r>
        <w:rPr>
          <w:rFonts w:hint="eastAsia" w:ascii="仿宋" w:hAnsi="仿宋" w:eastAsia="仿宋" w:cs="仿宋"/>
          <w:color w:val="000000"/>
          <w:sz w:val="32"/>
          <w:szCs w:val="32"/>
        </w:rPr>
        <w:t>2100余家医疗机构的协同创新网络；建成60余个大型生物样本库、数据库和</w:t>
      </w:r>
      <w:r>
        <w:rPr>
          <w:rFonts w:hint="eastAsia" w:ascii="仿宋" w:hAnsi="仿宋" w:eastAsia="仿宋" w:cs="仿宋"/>
          <w:sz w:val="32"/>
          <w:szCs w:val="32"/>
        </w:rPr>
        <w:t>143个临床研究队列，覆盖人群706.05万人次，涉及60余个病种</w:t>
      </w:r>
      <w:r>
        <w:rPr>
          <w:rFonts w:hint="eastAsia" w:ascii="仿宋" w:hAnsi="仿宋" w:eastAsia="仿宋" w:cs="仿宋"/>
          <w:color w:val="000000"/>
          <w:sz w:val="32"/>
          <w:szCs w:val="32"/>
        </w:rPr>
        <w:t>；</w:t>
      </w:r>
      <w:r>
        <w:rPr>
          <w:rFonts w:hint="eastAsia" w:ascii="仿宋" w:hAnsi="仿宋" w:eastAsia="仿宋" w:cs="仿宋"/>
          <w:sz w:val="32"/>
          <w:szCs w:val="32"/>
        </w:rPr>
        <w:t>自主或参与制定诊治指南规范151项（其中9项纳入国际指南）、制定国家标准42个</w:t>
      </w:r>
      <w:r>
        <w:rPr>
          <w:rFonts w:hint="eastAsia" w:ascii="仿宋" w:hAnsi="仿宋" w:eastAsia="仿宋" w:cs="仿宋"/>
          <w:color w:val="000000"/>
          <w:sz w:val="32"/>
          <w:szCs w:val="32"/>
        </w:rPr>
        <w:t>；取得重大新药、医疗器械等科技成果专利254项，其中国际专利4项，实现专利转移转化9项；共完成了248项药物临床评价；</w:t>
      </w:r>
      <w:r>
        <w:rPr>
          <w:rFonts w:hint="eastAsia" w:ascii="仿宋" w:hAnsi="仿宋" w:eastAsia="仿宋" w:cs="仿宋"/>
          <w:sz w:val="32"/>
          <w:szCs w:val="32"/>
        </w:rPr>
        <w:t>各中心已建成20余个远程服务平台，年诊疗患者数量6万余人次；</w:t>
      </w:r>
      <w:r>
        <w:rPr>
          <w:rFonts w:hint="eastAsia" w:ascii="仿宋" w:hAnsi="仿宋" w:eastAsia="仿宋" w:cs="仿宋"/>
          <w:color w:val="000000"/>
          <w:sz w:val="32"/>
          <w:szCs w:val="32"/>
        </w:rPr>
        <w:t>通过学术交流、技术培训、网络服务等形式，共组织开展了172项适宜技术和科技成果的基层推广活动，累计培训医务人员31.89万人次；</w:t>
      </w:r>
      <w:r>
        <w:rPr>
          <w:rFonts w:hint="eastAsia" w:ascii="仿宋" w:hAnsi="仿宋" w:eastAsia="仿宋" w:cs="仿宋"/>
          <w:sz w:val="32"/>
          <w:szCs w:val="32"/>
        </w:rPr>
        <w:t>建立了43个科普推广平台，自主设计了15个在线移动培训客户端（APP）。中心的建设</w:t>
      </w:r>
      <w:r>
        <w:rPr>
          <w:rFonts w:hint="eastAsia" w:ascii="仿宋" w:hAnsi="仿宋" w:eastAsia="仿宋" w:cs="仿宋"/>
          <w:color w:val="000000"/>
          <w:sz w:val="32"/>
          <w:szCs w:val="32"/>
        </w:rPr>
        <w:t>有力提升了基层医疗卫生机构的服务水平，在推动大医院的优质医疗资源和技术下沉、支撑分级诊疗实施、降低医疗费用等方面发挥了积极的作用。</w:t>
      </w:r>
      <w:r>
        <w:rPr>
          <w:rFonts w:hint="eastAsia" w:ascii="仿宋" w:hAnsi="仿宋" w:eastAsia="仿宋" w:cs="仿宋"/>
          <w:sz w:val="32"/>
          <w:szCs w:val="32"/>
        </w:rPr>
        <w:t>针对老少边穷地区的健康需求，构建健康医疗科技“精准对接”机制，形成了科技支撑健康扶贫工作的新模式。</w:t>
      </w:r>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20" w:name="_Toc474426560"/>
      <w:r>
        <w:rPr>
          <w:rFonts w:hint="eastAsia" w:ascii="仿宋" w:hAnsi="仿宋" w:eastAsia="仿宋" w:cs="仿宋"/>
          <w:sz w:val="32"/>
          <w:szCs w:val="32"/>
        </w:rPr>
        <w:t>（二）战略需求</w:t>
      </w:r>
      <w:bookmarkEnd w:id="20"/>
    </w:p>
    <w:p>
      <w:pPr>
        <w:keepNext w:val="0"/>
        <w:keepLines w:val="0"/>
        <w:pageBreakBefore w:val="0"/>
        <w:widowControl w:val="0"/>
        <w:kinsoku/>
        <w:wordWrap/>
        <w:overflowPunct/>
        <w:topLinePunct w:val="0"/>
        <w:autoSpaceDE/>
        <w:autoSpaceDN/>
        <w:bidi w:val="0"/>
        <w:adjustRightInd w:val="0"/>
        <w:snapToGrid w:val="0"/>
        <w:spacing w:line="240" w:lineRule="auto"/>
        <w:ind w:firstLine="643"/>
        <w:textAlignment w:val="auto"/>
        <w:rPr>
          <w:rFonts w:hint="eastAsia" w:ascii="仿宋" w:hAnsi="仿宋" w:eastAsia="仿宋" w:cs="仿宋"/>
          <w:sz w:val="32"/>
          <w:szCs w:val="32"/>
        </w:rPr>
      </w:pPr>
      <w:r>
        <w:rPr>
          <w:rFonts w:hint="eastAsia" w:ascii="仿宋" w:hAnsi="仿宋" w:eastAsia="仿宋" w:cs="仿宋"/>
          <w:b/>
          <w:color w:val="000000"/>
          <w:sz w:val="32"/>
          <w:szCs w:val="32"/>
        </w:rPr>
        <w:t>1. 加强中心建设是有效强化我国医学创新能力的重要举措</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r>
        <w:rPr>
          <w:rFonts w:hint="eastAsia" w:ascii="仿宋" w:hAnsi="仿宋" w:eastAsia="仿宋" w:cs="仿宋"/>
          <w:color w:val="000000"/>
          <w:sz w:val="32"/>
          <w:szCs w:val="32"/>
        </w:rPr>
        <w:t>长期以来，</w:t>
      </w:r>
      <w:r>
        <w:rPr>
          <w:rFonts w:hint="eastAsia" w:ascii="仿宋" w:hAnsi="仿宋" w:eastAsia="仿宋" w:cs="仿宋"/>
          <w:sz w:val="32"/>
          <w:szCs w:val="32"/>
        </w:rPr>
        <w:t>临床研究一直是我国医学科技创新链条的薄弱环节，许多生命科学基础前沿研究领域取得的进展，不能及时有效地转化到临床应用。</w:t>
      </w:r>
      <w:r>
        <w:rPr>
          <w:rFonts w:hint="eastAsia" w:ascii="仿宋" w:hAnsi="仿宋" w:eastAsia="仿宋" w:cs="仿宋"/>
          <w:color w:val="000000"/>
          <w:sz w:val="32"/>
          <w:szCs w:val="32"/>
        </w:rPr>
        <w:t>由于我国临床医学研究部署不够，</w:t>
      </w:r>
      <w:r>
        <w:rPr>
          <w:rFonts w:hint="eastAsia" w:ascii="仿宋" w:hAnsi="仿宋" w:eastAsia="仿宋" w:cs="仿宋"/>
          <w:sz w:val="32"/>
          <w:szCs w:val="32"/>
        </w:rPr>
        <w:t>在临床医学这一重要环节的科研创新平台建设“几乎空白”，导致临床研究团队的专业化建设严重滞后，临床资源高度分散、缺乏整合，临床研究创新不足、水平不高，整体发展滞后的短板问题十分突出。</w:t>
      </w:r>
      <w:r>
        <w:rPr>
          <w:rFonts w:hint="eastAsia" w:ascii="仿宋" w:hAnsi="仿宋" w:eastAsia="仿宋" w:cs="仿宋"/>
          <w:color w:val="000000"/>
          <w:sz w:val="32"/>
          <w:szCs w:val="32"/>
        </w:rPr>
        <w:t>大力加强临床医学研究体系的建设已成为世界各国推进医学科技发展的重要战略方向。</w:t>
      </w:r>
      <w:r>
        <w:rPr>
          <w:rFonts w:hint="eastAsia" w:ascii="仿宋" w:hAnsi="仿宋" w:eastAsia="仿宋" w:cs="仿宋"/>
          <w:sz w:val="32"/>
          <w:szCs w:val="32"/>
        </w:rPr>
        <w:t>以医疗机构为主体、以网络为依托，聚焦重大疾病，</w:t>
      </w:r>
      <w:r>
        <w:rPr>
          <w:rFonts w:hint="eastAsia" w:ascii="仿宋" w:hAnsi="仿宋" w:eastAsia="仿宋" w:cs="仿宋"/>
          <w:color w:val="000000"/>
          <w:sz w:val="32"/>
          <w:szCs w:val="32"/>
        </w:rPr>
        <w:t>系统构建各疾病领域和临床专科的中心，将为完善国家医学创新体系，增强创新能力，加快突破现有疾病诊疗技术的局限性，探索适宜我国国情的、更为经济有效的疾病防控手段，提高疾病防治水平提供强有力的支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643"/>
        <w:textAlignment w:val="auto"/>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2. 加强中心建设是加快我国卫生与健康科技成果转化的有效途径</w:t>
      </w:r>
    </w:p>
    <w:p>
      <w:pPr>
        <w:keepNext w:val="0"/>
        <w:keepLines w:val="0"/>
        <w:pageBreakBefore w:val="0"/>
        <w:widowControl w:val="0"/>
        <w:kinsoku/>
        <w:wordWrap/>
        <w:overflowPunct/>
        <w:topLinePunct w:val="0"/>
        <w:autoSpaceDE/>
        <w:autoSpaceDN/>
        <w:bidi w:val="0"/>
        <w:adjustRightInd w:val="0"/>
        <w:snapToGrid w:val="0"/>
        <w:spacing w:line="240" w:lineRule="auto"/>
        <w:ind w:firstLine="628"/>
        <w:textAlignment w:val="auto"/>
        <w:outlineLvl w:val="2"/>
        <w:rPr>
          <w:rFonts w:hint="eastAsia" w:ascii="仿宋" w:hAnsi="仿宋" w:eastAsia="仿宋" w:cs="仿宋"/>
          <w:color w:val="000000"/>
          <w:sz w:val="32"/>
          <w:szCs w:val="32"/>
        </w:rPr>
      </w:pPr>
      <w:r>
        <w:rPr>
          <w:rFonts w:hint="eastAsia" w:ascii="仿宋" w:hAnsi="仿宋" w:eastAsia="仿宋" w:cs="仿宋"/>
          <w:spacing w:val="-3"/>
          <w:sz w:val="32"/>
          <w:szCs w:val="32"/>
        </w:rPr>
        <w:t>在医学创新领域，临床医疗机构处于医学科技创新链条的中心枢纽位置，</w:t>
      </w:r>
      <w:r>
        <w:rPr>
          <w:rFonts w:hint="eastAsia" w:ascii="仿宋" w:hAnsi="仿宋" w:eastAsia="仿宋" w:cs="仿宋"/>
          <w:color w:val="000000"/>
          <w:spacing w:val="-3"/>
          <w:sz w:val="32"/>
          <w:szCs w:val="32"/>
        </w:rPr>
        <w:t>是承接基础研究发现、转化前沿技术成果、应用评价创新产品、研究制定指南规范的核心力量。长期以来，</w:t>
      </w:r>
      <w:r>
        <w:rPr>
          <w:rFonts w:hint="eastAsia" w:ascii="仿宋" w:hAnsi="仿宋" w:eastAsia="仿宋" w:cs="仿宋"/>
          <w:spacing w:val="-3"/>
          <w:sz w:val="32"/>
          <w:szCs w:val="32"/>
        </w:rPr>
        <w:t>临床医疗机构、临床医生参与卫生健康创新的动力机制不强、活力不够，是我国基于国人循证证据的诊疗指南和技术规范产出少，自主医药产品创新少、转化慢的一个重要原因。促进临床医疗机构与研究单位、大学、企业的紧密融合，是加快推进医药产品研发和增强医药产业创新活力的重要途径。通过中心的布局建设，充分发挥中心在对接成果转化链条各主体之间的优势，与相关研究单位、高校、创新型企业建立紧密合作关系，将有效激发医疗机构这一关键主体的创新活力和创新潜能，在汇聚创新力量，推动医、研、企融合创新上发挥引领性作用，成为加速科技成果转化的成功尝试。</w:t>
      </w:r>
    </w:p>
    <w:p>
      <w:pPr>
        <w:keepNext w:val="0"/>
        <w:keepLines w:val="0"/>
        <w:pageBreakBefore w:val="0"/>
        <w:widowControl w:val="0"/>
        <w:kinsoku/>
        <w:wordWrap/>
        <w:overflowPunct/>
        <w:topLinePunct w:val="0"/>
        <w:autoSpaceDE/>
        <w:autoSpaceDN/>
        <w:bidi w:val="0"/>
        <w:adjustRightInd w:val="0"/>
        <w:snapToGrid w:val="0"/>
        <w:spacing w:line="240" w:lineRule="auto"/>
        <w:ind w:firstLine="643"/>
        <w:textAlignment w:val="auto"/>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3. 加强中心建设是实现健康中国战略目标的有力支撑</w:t>
      </w:r>
    </w:p>
    <w:p>
      <w:pPr>
        <w:keepNext w:val="0"/>
        <w:keepLines w:val="0"/>
        <w:pageBreakBefore w:val="0"/>
        <w:widowControl w:val="0"/>
        <w:kinsoku/>
        <w:wordWrap/>
        <w:overflowPunct/>
        <w:topLinePunct w:val="0"/>
        <w:autoSpaceDE/>
        <w:autoSpaceDN/>
        <w:bidi w:val="0"/>
        <w:adjustRightInd w:val="0"/>
        <w:snapToGrid w:val="0"/>
        <w:spacing w:line="240" w:lineRule="auto"/>
        <w:ind w:firstLine="608"/>
        <w:textAlignment w:val="auto"/>
        <w:rPr>
          <w:rFonts w:hint="eastAsia" w:ascii="仿宋" w:hAnsi="仿宋" w:eastAsia="仿宋" w:cs="仿宋"/>
          <w:sz w:val="32"/>
          <w:szCs w:val="32"/>
        </w:rPr>
      </w:pPr>
      <w:r>
        <w:rPr>
          <w:rFonts w:hint="eastAsia" w:ascii="仿宋" w:hAnsi="仿宋" w:eastAsia="仿宋" w:cs="仿宋"/>
          <w:spacing w:val="-8"/>
          <w:sz w:val="32"/>
          <w:szCs w:val="32"/>
        </w:rPr>
        <w:t>医学科技创新的价值最终要体现在社会效益上，落实到疾病诊疗水平和服务质量的提高上。长期以来，基层医疗技术服务能力薄弱，医疗服务质量不均衡是我国卫生与健康服务体系的“短板”。按照功能定位，中心将以基层为重点，大力开展新技术、新知识和先进适宜技术的普及推广，体系化推进人员培训、临床指导等工作，加快把大医院的技术传到基层、助力广大基层“学好、用好”医疗技术，增强基层医疗机构的服务能力，推进医疗服务均质化，整体提高我国疾病诊疗水平，为健康中国战略目标的实现提供有力的支撑。</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pStyle w:val="2"/>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21" w:name="_Toc474426561"/>
      <w:bookmarkStart w:id="22" w:name="_Toc413105463"/>
      <w:bookmarkStart w:id="23" w:name="_Toc408137607"/>
      <w:r>
        <w:rPr>
          <w:rFonts w:hint="eastAsia" w:ascii="仿宋" w:hAnsi="仿宋" w:eastAsia="仿宋" w:cs="仿宋"/>
          <w:sz w:val="32"/>
          <w:szCs w:val="32"/>
        </w:rPr>
        <w:t>二、指导思想、基本原则和总体目标</w:t>
      </w:r>
      <w:bookmarkEnd w:id="21"/>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24" w:name="_Toc474426562"/>
      <w:r>
        <w:rPr>
          <w:rFonts w:hint="eastAsia" w:ascii="仿宋" w:hAnsi="仿宋" w:eastAsia="仿宋" w:cs="仿宋"/>
          <w:sz w:val="32"/>
          <w:szCs w:val="32"/>
        </w:rPr>
        <w:t>（一）指导思想</w:t>
      </w:r>
      <w:bookmarkEnd w:id="24"/>
    </w:p>
    <w:p>
      <w:pPr>
        <w:keepNext w:val="0"/>
        <w:keepLines w:val="0"/>
        <w:pageBreakBefore w:val="0"/>
        <w:widowControl w:val="0"/>
        <w:kinsoku/>
        <w:wordWrap/>
        <w:overflowPunct/>
        <w:topLinePunct w:val="0"/>
        <w:autoSpaceDE/>
        <w:autoSpaceDN/>
        <w:bidi w:val="0"/>
        <w:adjustRightInd w:val="0"/>
        <w:snapToGrid w:val="0"/>
        <w:spacing w:line="240" w:lineRule="auto"/>
        <w:ind w:firstLine="628"/>
        <w:textAlignment w:val="auto"/>
        <w:outlineLvl w:val="2"/>
        <w:rPr>
          <w:rFonts w:hint="eastAsia" w:ascii="仿宋" w:hAnsi="仿宋" w:eastAsia="仿宋" w:cs="仿宋"/>
          <w:color w:val="000000"/>
          <w:sz w:val="32"/>
          <w:szCs w:val="32"/>
        </w:rPr>
      </w:pPr>
      <w:r>
        <w:rPr>
          <w:rFonts w:hint="eastAsia" w:ascii="仿宋" w:hAnsi="仿宋" w:eastAsia="仿宋" w:cs="仿宋"/>
          <w:color w:val="000000"/>
          <w:spacing w:val="-3"/>
          <w:sz w:val="32"/>
          <w:szCs w:val="32"/>
        </w:rPr>
        <w:t>为落实国家创新驱动发展战略、《“十三五”国家科技创新规划》、《“健康中国2030”规划纲要》和《“十三五”卫生与健康科技创新专项规划》，紧密围绕医学科技发展需要和重大疾病防控需求，把中心建设作为加快医学科技成果转化，支撑科技强国、健康中国建设等国家战略需求的重大举措。未来五年，中心建设将进一步加强整体布局，优化资源配置方式，完善运行管理制度和机制，构建衔接紧密、转化顺畅、协同整合、服务基层的医学科技创新体系，加快推进医学领域的创新突破和普及推广。</w:t>
      </w:r>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25" w:name="_Toc474426563"/>
      <w:r>
        <w:rPr>
          <w:rFonts w:hint="eastAsia" w:ascii="仿宋" w:hAnsi="仿宋" w:eastAsia="仿宋" w:cs="仿宋"/>
          <w:sz w:val="32"/>
          <w:szCs w:val="32"/>
        </w:rPr>
        <w:t>（二）基本原则</w:t>
      </w:r>
      <w:bookmarkEnd w:id="25"/>
    </w:p>
    <w:bookmarkEnd w:id="22"/>
    <w:bookmarkEnd w:id="23"/>
    <w:p>
      <w:pPr>
        <w:keepNext w:val="0"/>
        <w:keepLines w:val="0"/>
        <w:pageBreakBefore w:val="0"/>
        <w:widowControl w:val="0"/>
        <w:kinsoku/>
        <w:wordWrap/>
        <w:overflowPunct/>
        <w:topLinePunct w:val="0"/>
        <w:autoSpaceDE/>
        <w:autoSpaceDN/>
        <w:bidi w:val="0"/>
        <w:adjustRightInd w:val="0"/>
        <w:snapToGrid w:val="0"/>
        <w:spacing w:line="240" w:lineRule="auto"/>
        <w:ind w:firstLine="643"/>
        <w:textAlignment w:val="auto"/>
        <w:outlineLvl w:val="2"/>
        <w:rPr>
          <w:rFonts w:hint="eastAsia" w:ascii="仿宋" w:hAnsi="仿宋" w:eastAsia="仿宋" w:cs="仿宋"/>
          <w:b/>
          <w:color w:val="000000"/>
          <w:sz w:val="32"/>
          <w:szCs w:val="32"/>
        </w:rPr>
      </w:pPr>
      <w:bookmarkStart w:id="26" w:name="_Toc317609404"/>
      <w:bookmarkStart w:id="27" w:name="_Toc318187420"/>
      <w:r>
        <w:rPr>
          <w:rFonts w:hint="eastAsia" w:ascii="仿宋" w:hAnsi="仿宋" w:eastAsia="仿宋" w:cs="仿宋"/>
          <w:b/>
          <w:color w:val="000000"/>
          <w:sz w:val="32"/>
          <w:szCs w:val="32"/>
        </w:rPr>
        <w:t>1. 强调创新，注重临床</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面向重大临床需求，</w:t>
      </w:r>
      <w:r>
        <w:rPr>
          <w:rFonts w:hint="eastAsia" w:ascii="仿宋" w:hAnsi="仿宋" w:eastAsia="仿宋" w:cs="仿宋"/>
          <w:color w:val="000000"/>
          <w:sz w:val="32"/>
          <w:szCs w:val="32"/>
        </w:rPr>
        <w:t>在相关疾病领域和临床专科建设中心及其创新网络，依托网络</w:t>
      </w:r>
      <w:r>
        <w:rPr>
          <w:rFonts w:hint="eastAsia" w:ascii="仿宋" w:hAnsi="仿宋" w:eastAsia="仿宋" w:cs="仿宋"/>
          <w:bCs/>
          <w:color w:val="000000"/>
          <w:sz w:val="32"/>
          <w:szCs w:val="32"/>
        </w:rPr>
        <w:t>开展大样本临床循证、转化医学和防控策略研究，利用网络开展</w:t>
      </w:r>
      <w:r>
        <w:rPr>
          <w:rFonts w:hint="eastAsia" w:ascii="仿宋" w:hAnsi="仿宋" w:eastAsia="仿宋" w:cs="仿宋"/>
          <w:color w:val="000000"/>
          <w:sz w:val="32"/>
          <w:szCs w:val="32"/>
        </w:rPr>
        <w:t>新技术、新产品、新方案的协同创新</w:t>
      </w:r>
      <w:r>
        <w:rPr>
          <w:rFonts w:hint="eastAsia" w:ascii="仿宋" w:hAnsi="仿宋" w:eastAsia="仿宋" w:cs="仿宋"/>
          <w:bCs/>
          <w:color w:val="000000"/>
          <w:sz w:val="32"/>
          <w:szCs w:val="32"/>
        </w:rPr>
        <w:t>，为提高临床诊疗水平提供科技支撑。</w:t>
      </w:r>
    </w:p>
    <w:p>
      <w:pPr>
        <w:keepNext w:val="0"/>
        <w:keepLines w:val="0"/>
        <w:pageBreakBefore w:val="0"/>
        <w:widowControl w:val="0"/>
        <w:kinsoku/>
        <w:wordWrap/>
        <w:overflowPunct/>
        <w:topLinePunct w:val="0"/>
        <w:autoSpaceDE/>
        <w:autoSpaceDN/>
        <w:bidi w:val="0"/>
        <w:adjustRightInd w:val="0"/>
        <w:snapToGrid w:val="0"/>
        <w:spacing w:line="240" w:lineRule="auto"/>
        <w:ind w:firstLine="643"/>
        <w:textAlignment w:val="auto"/>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2. 统筹规划，整体布局</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color w:val="000000"/>
          <w:sz w:val="32"/>
          <w:szCs w:val="32"/>
        </w:rPr>
      </w:pPr>
      <w:r>
        <w:rPr>
          <w:rFonts w:hint="eastAsia" w:ascii="仿宋" w:hAnsi="仿宋" w:eastAsia="仿宋" w:cs="仿宋"/>
          <w:color w:val="000000"/>
          <w:sz w:val="32"/>
          <w:szCs w:val="32"/>
        </w:rPr>
        <w:t>紧密围绕我国重大慢病和常见多发病的防治需求，进一步完善中心布局，在新建中心的布局上注重不同区域的平衡，实现主要疾病领域和临床专科的全覆盖。引导建设国家临床医学研究中心分中心（以下简称“分中心”），鼓励各地方建设省级临床医学研究中心（以下简称“省级中心”）的建设，实现区域的合理布局，形成全国性的网络体系。</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3"/>
        <w:textAlignment w:val="auto"/>
        <w:outlineLvl w:val="2"/>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加强转化，扩大推广</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b/>
          <w:bCs/>
          <w:color w:val="000000"/>
          <w:sz w:val="32"/>
          <w:szCs w:val="32"/>
        </w:rPr>
      </w:pPr>
      <w:r>
        <w:rPr>
          <w:rFonts w:hint="eastAsia" w:ascii="仿宋" w:hAnsi="仿宋" w:eastAsia="仿宋" w:cs="仿宋"/>
          <w:color w:val="000000"/>
          <w:sz w:val="32"/>
          <w:szCs w:val="32"/>
        </w:rPr>
        <w:t>面向基层医疗卫生需求，注重适宜技术的转化推广和专业医务人才的技能培训，提升诊疗水平和服务能力，为整体提高全国卫生医疗水平和实施分级诊疗，发挥科技的支撑作用。</w:t>
      </w:r>
    </w:p>
    <w:bookmarkEnd w:id="26"/>
    <w:p>
      <w:pPr>
        <w:keepNext w:val="0"/>
        <w:keepLines w:val="0"/>
        <w:pageBreakBefore w:val="0"/>
        <w:widowControl w:val="0"/>
        <w:kinsoku/>
        <w:wordWrap/>
        <w:overflowPunct/>
        <w:topLinePunct w:val="0"/>
        <w:autoSpaceDE/>
        <w:autoSpaceDN/>
        <w:bidi w:val="0"/>
        <w:adjustRightInd w:val="0"/>
        <w:snapToGrid w:val="0"/>
        <w:spacing w:line="240" w:lineRule="auto"/>
        <w:ind w:firstLine="643"/>
        <w:textAlignment w:val="auto"/>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4. 强化管理，完善机制</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按照《国家临床医学研究中心管理办法（2017年修订）》，建立考核评估机制，完善评价激励措施；建立有效的协同创新、开放共享机制，鼓励同领域的中心之间建立有效的协同机制；明确相关部门、地方和依托单位的职责，</w:t>
      </w:r>
      <w:r>
        <w:rPr>
          <w:rFonts w:hint="eastAsia" w:ascii="仿宋" w:hAnsi="仿宋" w:eastAsia="仿宋" w:cs="仿宋"/>
          <w:bCs/>
          <w:color w:val="000000"/>
          <w:sz w:val="32"/>
          <w:szCs w:val="32"/>
        </w:rPr>
        <w:t>给予中心更大的资源保障和政策支持，</w:t>
      </w:r>
      <w:r>
        <w:rPr>
          <w:rFonts w:hint="eastAsia" w:ascii="仿宋" w:hAnsi="仿宋" w:eastAsia="仿宋" w:cs="仿宋"/>
          <w:color w:val="000000"/>
          <w:sz w:val="32"/>
          <w:szCs w:val="32"/>
        </w:rPr>
        <w:t>不断探索营造有利于中心稳定发展的政策环境。</w:t>
      </w:r>
      <w:bookmarkEnd w:id="27"/>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28" w:name="_Toc474426564"/>
      <w:r>
        <w:rPr>
          <w:rFonts w:hint="eastAsia" w:ascii="仿宋" w:hAnsi="仿宋" w:eastAsia="仿宋" w:cs="仿宋"/>
          <w:sz w:val="32"/>
          <w:szCs w:val="32"/>
        </w:rPr>
        <w:t>（三）总体目标</w:t>
      </w:r>
      <w:bookmarkEnd w:id="28"/>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color w:val="000000"/>
          <w:sz w:val="32"/>
          <w:szCs w:val="32"/>
        </w:rPr>
      </w:pPr>
      <w:r>
        <w:rPr>
          <w:rFonts w:hint="eastAsia" w:ascii="仿宋" w:hAnsi="仿宋" w:eastAsia="仿宋" w:cs="仿宋"/>
          <w:color w:val="000000"/>
          <w:sz w:val="32"/>
          <w:szCs w:val="32"/>
        </w:rPr>
        <w:t>到2021年底，针对重大需求，在主要疾病领域和临床专科统筹建成100家左右的中心，引导建设分中心，针对区域特有重大疾病建设省部共建中心，鼓励各地方开展省级中心的建设，完善领域与区域布局；构建体制化、机制化的转化推广体系，打造一批规范化、标准化、规模化的健康医疗大数据平台、生物样本库和信息库，搭建国际一流的临床研究公共服务平台；开展20-30项万人以上规模的疾病人群队列研究，开发50-80项疾病综合治疗方案，研究制定不少于15项国际水平的临床实践指南，普及推广一批医学科技成果。到2021年底，形成布局合理、定位清晰、管理科学、运行高效、开放共享、协同发展的国家临床医学研究创新体系，有效提升临床诊疗水平，推动医疗质量均质化，带动整体医疗水平的提高，促进健康产业的发展。</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29" w:name="_Toc474426565"/>
      <w:r>
        <w:rPr>
          <w:rFonts w:hint="eastAsia" w:ascii="仿宋" w:hAnsi="仿宋" w:eastAsia="仿宋" w:cs="仿宋"/>
          <w:sz w:val="32"/>
          <w:szCs w:val="32"/>
        </w:rPr>
        <w:t>三、重点任务</w:t>
      </w:r>
      <w:bookmarkEnd w:id="29"/>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30" w:name="_Toc474426566"/>
      <w:r>
        <w:rPr>
          <w:rFonts w:hint="eastAsia" w:ascii="仿宋" w:hAnsi="仿宋" w:eastAsia="仿宋" w:cs="仿宋"/>
          <w:sz w:val="32"/>
          <w:szCs w:val="32"/>
        </w:rPr>
        <w:t>（一）统筹规划，合理布局</w:t>
      </w:r>
      <w:bookmarkEnd w:id="30"/>
      <w:r>
        <w:rPr>
          <w:rFonts w:hint="eastAsia" w:ascii="仿宋" w:hAnsi="仿宋" w:eastAsia="仿宋" w:cs="仿宋"/>
          <w:sz w:val="32"/>
          <w:szCs w:val="32"/>
        </w:rPr>
        <w:t>中心</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宋体" w:hAnsi="宋体" w:eastAsia="宋体" w:cs="宋体"/>
          <w:color w:val="000000"/>
          <w:sz w:val="24"/>
          <w:szCs w:val="24"/>
        </w:rPr>
      </w:pPr>
      <w:r>
        <w:rPr>
          <w:rFonts w:hint="eastAsia" w:ascii="仿宋" w:hAnsi="仿宋" w:eastAsia="仿宋" w:cs="仿宋"/>
          <w:color w:val="000000"/>
          <w:sz w:val="32"/>
          <w:szCs w:val="32"/>
        </w:rPr>
        <w:t>根据卫生与健康事业发展的需求，在充分掌握我国疾病谱特点的基础上，重点围绕慢性非传染性疾病和常见多发疾病进一步完善中心布局，实现主要疾病领域和临床专科的全覆盖（主要疾病领域和临床专科分布见附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2"/>
        <w:rPr>
          <w:rFonts w:eastAsia="黑体"/>
          <w:color w:val="0000FF"/>
          <w:sz w:val="24"/>
          <w:szCs w:val="24"/>
        </w:rPr>
      </w:pPr>
      <w:r>
        <w:rPr>
          <w:rFonts w:eastAsia="黑体"/>
          <w:color w:val="0000FF"/>
          <w:sz w:val="24"/>
          <w:szCs w:val="24"/>
        </w:rPr>
        <w:t>专栏1：中心布局</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57" w:type="dxa"/>
          <w:left w:w="57" w:type="dxa"/>
          <w:bottom w:w="57" w:type="dxa"/>
          <w:right w:w="57" w:type="dxa"/>
        </w:tblCellMar>
      </w:tblPr>
      <w:tblGrid>
        <w:gridCol w:w="9133"/>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7" w:type="dxa"/>
            <w:left w:w="57" w:type="dxa"/>
            <w:bottom w:w="57" w:type="dxa"/>
            <w:right w:w="57" w:type="dxa"/>
          </w:tblCellMar>
        </w:tblPrEx>
        <w:trPr>
          <w:jc w:val="center"/>
        </w:trPr>
        <w:tc>
          <w:tcPr>
            <w:tcW w:w="9133"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outlineLvl w:val="2"/>
              <w:rPr>
                <w:color w:val="000000"/>
                <w:sz w:val="24"/>
                <w:szCs w:val="24"/>
              </w:rPr>
            </w:pPr>
            <w:r>
              <w:rPr>
                <w:b/>
                <w:color w:val="000000"/>
                <w:sz w:val="24"/>
                <w:szCs w:val="24"/>
              </w:rPr>
              <w:t>领域布局。</w:t>
            </w:r>
            <w:r>
              <w:rPr>
                <w:color w:val="000000"/>
                <w:sz w:val="24"/>
                <w:szCs w:val="24"/>
              </w:rPr>
              <w:t>结合我国疾病谱，在目前已经部署的心血管系统疾病、神经系统疾病、恶性肿瘤、呼吸系统疾病、消化系统疾病、代谢性疾病、慢性肾病、精神心理疾病、妇产疾病、口腔疾病和老年疾病共11个疾病领域中心的基础上，组织开展感染性疾病、儿童健康与疾病、出生缺陷与罕见病、骨科与运动康复、眼耳鼻喉疾病、免疫与皮肤疾病、血液系统疾病、职业病、地方病、影像医学、医学检验、医学营养、急危重症、麻醉医学、病理诊断、放射与治疗等疾病领域和临床专科的中心建设，试点建设一批中医类的中心。根据疾病防控的实际需求，原则上各疾病领域和临床专科建设1</w:t>
            </w:r>
            <w:r>
              <w:rPr>
                <w:color w:val="000000"/>
                <w:sz w:val="24"/>
              </w:rPr>
              <w:t>～</w:t>
            </w:r>
            <w:r>
              <w:rPr>
                <w:color w:val="000000"/>
                <w:sz w:val="24"/>
                <w:szCs w:val="24"/>
              </w:rPr>
              <w:t>3家中心，重大疾病领域建设3</w:t>
            </w:r>
            <w:r>
              <w:rPr>
                <w:color w:val="000000"/>
                <w:sz w:val="24"/>
              </w:rPr>
              <w:t>～</w:t>
            </w:r>
            <w:r>
              <w:rPr>
                <w:color w:val="000000"/>
                <w:sz w:val="24"/>
                <w:szCs w:val="24"/>
              </w:rPr>
              <w:t>5家。</w:t>
            </w:r>
          </w:p>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b/>
                <w:color w:val="000000"/>
                <w:sz w:val="24"/>
                <w:szCs w:val="24"/>
              </w:rPr>
            </w:pPr>
            <w:r>
              <w:rPr>
                <w:b/>
                <w:color w:val="000000"/>
                <w:sz w:val="24"/>
                <w:szCs w:val="24"/>
              </w:rPr>
              <w:t>区域布局。</w:t>
            </w:r>
            <w:r>
              <w:rPr>
                <w:color w:val="000000"/>
                <w:sz w:val="24"/>
                <w:szCs w:val="24"/>
              </w:rPr>
              <w:t>在新建中心的布局上注重不同区域的平衡，探索推进省部共建中心的建设。引导心血管疾病、恶性肿瘤、神经系统疾病、呼吸系统疾病、代谢性疾病、精神心理疾病、感染性疾病、老年疾病等重大疾病领域的中心建立分中心。鼓励各地方建设省级中心。</w:t>
            </w:r>
          </w:p>
        </w:tc>
      </w:tr>
    </w:tbl>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31" w:name="_Toc474426567"/>
      <w:r>
        <w:rPr>
          <w:rFonts w:hint="eastAsia" w:ascii="仿宋" w:hAnsi="仿宋" w:eastAsia="仿宋" w:cs="仿宋"/>
          <w:sz w:val="32"/>
          <w:szCs w:val="32"/>
        </w:rPr>
        <w:t>（二）需求导向，开展高水平</w:t>
      </w:r>
      <w:bookmarkEnd w:id="31"/>
      <w:r>
        <w:rPr>
          <w:rFonts w:hint="eastAsia" w:ascii="仿宋" w:hAnsi="仿宋" w:eastAsia="仿宋" w:cs="仿宋"/>
          <w:sz w:val="32"/>
          <w:szCs w:val="32"/>
        </w:rPr>
        <w:t>临床研究</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宋体" w:hAnsi="宋体" w:eastAsia="宋体" w:cs="宋体"/>
          <w:color w:val="000000"/>
          <w:sz w:val="24"/>
          <w:szCs w:val="24"/>
        </w:rPr>
      </w:pPr>
      <w:r>
        <w:rPr>
          <w:rFonts w:hint="eastAsia" w:ascii="仿宋" w:hAnsi="仿宋" w:eastAsia="仿宋" w:cs="仿宋"/>
          <w:color w:val="000000"/>
          <w:sz w:val="32"/>
          <w:szCs w:val="32"/>
        </w:rPr>
        <w:t>整合集成临床医学研究资源和研究力量，按照创新全链条设计、一体化部署，重点开展临床循证研究、转化应用研究、应用推广研究及防控战略研究四类研究。开展20-30项万人以上规模的疾病人群队列研究，开发50-80项疾病综合治疗方案，研究制定不少于15项国际水平的临床实践指南。</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2"/>
        <w:rPr>
          <w:rFonts w:eastAsia="黑体"/>
          <w:color w:val="0000FF"/>
          <w:sz w:val="24"/>
          <w:szCs w:val="24"/>
        </w:rPr>
      </w:pPr>
      <w:r>
        <w:rPr>
          <w:rFonts w:eastAsia="黑体"/>
          <w:color w:val="0000FF"/>
          <w:sz w:val="24"/>
          <w:szCs w:val="24"/>
        </w:rPr>
        <w:t>专栏2：开展高水平临床研究</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57" w:type="dxa"/>
          <w:left w:w="57" w:type="dxa"/>
          <w:bottom w:w="57" w:type="dxa"/>
          <w:right w:w="57" w:type="dxa"/>
        </w:tblCellMar>
      </w:tblPr>
      <w:tblGrid>
        <w:gridCol w:w="9053"/>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7" w:type="dxa"/>
            <w:left w:w="57" w:type="dxa"/>
            <w:bottom w:w="57" w:type="dxa"/>
            <w:right w:w="57" w:type="dxa"/>
          </w:tblCellMar>
        </w:tblPrEx>
        <w:trPr>
          <w:trHeight w:val="567" w:hRule="atLeast"/>
          <w:jc w:val="center"/>
        </w:trPr>
        <w:tc>
          <w:tcPr>
            <w:tcW w:w="9053"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szCs w:val="24"/>
              </w:rPr>
            </w:pPr>
            <w:r>
              <w:rPr>
                <w:b/>
                <w:color w:val="000000"/>
                <w:sz w:val="24"/>
                <w:szCs w:val="24"/>
              </w:rPr>
              <w:t>临床循证研究</w:t>
            </w:r>
            <w:r>
              <w:rPr>
                <w:color w:val="000000"/>
                <w:sz w:val="24"/>
                <w:szCs w:val="24"/>
              </w:rPr>
              <w:t>。重点开展大规模、多中心的临床效果评价与医疗质量提升研究，形成一批高质量的临床指南，建立疾病规范化诊疗技术体系。</w:t>
            </w:r>
          </w:p>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rPr>
            </w:pPr>
            <w:r>
              <w:rPr>
                <w:b/>
                <w:color w:val="000000"/>
                <w:sz w:val="24"/>
              </w:rPr>
              <w:t>转化应用研究</w:t>
            </w:r>
            <w:r>
              <w:rPr>
                <w:color w:val="000000"/>
                <w:sz w:val="24"/>
              </w:rPr>
              <w:t>。重点加强基础和临床紧密结合的转化研究，开展新技术、新产品的开发和临床评价研究，加强创新药物临床试验和仿制药质量与疗效一致性评价生物等效性试验，促进医学科技成果的转化应用。</w:t>
            </w:r>
          </w:p>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rPr>
            </w:pPr>
            <w:r>
              <w:rPr>
                <w:b/>
                <w:color w:val="000000"/>
                <w:sz w:val="24"/>
              </w:rPr>
              <w:t>应用推广研究</w:t>
            </w:r>
            <w:r>
              <w:rPr>
                <w:color w:val="000000"/>
                <w:sz w:val="24"/>
              </w:rPr>
              <w:t>。重点开展面向基层的适宜诊疗技术应用评价研究，建立有效的推广模式，推动成熟、先进诊疗技术和诊疗规范的普及和推广，系统提高我国整体的疾病防治水平。</w:t>
            </w:r>
          </w:p>
          <w:p>
            <w:pPr>
              <w:keepNext w:val="0"/>
              <w:keepLines w:val="0"/>
              <w:pageBreakBefore w:val="0"/>
              <w:widowControl w:val="0"/>
              <w:kinsoku/>
              <w:wordWrap/>
              <w:overflowPunct/>
              <w:topLinePunct w:val="0"/>
              <w:autoSpaceDE/>
              <w:autoSpaceDN/>
              <w:bidi w:val="0"/>
              <w:adjustRightInd w:val="0"/>
              <w:snapToGrid w:val="0"/>
              <w:spacing w:line="0" w:lineRule="atLeast"/>
              <w:ind w:firstLine="466"/>
              <w:textAlignment w:val="auto"/>
              <w:rPr>
                <w:color w:val="000000"/>
                <w:sz w:val="24"/>
              </w:rPr>
            </w:pPr>
            <w:r>
              <w:rPr>
                <w:b/>
                <w:color w:val="000000"/>
                <w:spacing w:val="-4"/>
                <w:sz w:val="24"/>
              </w:rPr>
              <w:t>防控策略研究</w:t>
            </w:r>
            <w:r>
              <w:rPr>
                <w:color w:val="000000"/>
                <w:spacing w:val="-4"/>
                <w:sz w:val="24"/>
              </w:rPr>
              <w:t>。系统开展针对我国重点疾病谱、重点人群的监测研究，明确全国或者重点区域疾病流行病学分布情况、医疗质量和诊疗技术水平的区域化差异等数据，加强对重点疾病高危因素的筛查和监测，为合理制定国家疾病防治策略提供科学依据。</w:t>
            </w:r>
          </w:p>
        </w:tc>
      </w:tr>
    </w:tbl>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32" w:name="_Toc474426568"/>
      <w:r>
        <w:rPr>
          <w:rFonts w:hint="eastAsia" w:ascii="仿宋" w:hAnsi="仿宋" w:eastAsia="仿宋" w:cs="仿宋"/>
          <w:sz w:val="32"/>
          <w:szCs w:val="32"/>
        </w:rPr>
        <w:t>（三）共建共享，强化医学研究基础平台建设</w:t>
      </w:r>
      <w:bookmarkEnd w:id="32"/>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宋体" w:hAnsi="宋体" w:eastAsia="宋体" w:cs="宋体"/>
          <w:color w:val="000000"/>
          <w:sz w:val="24"/>
          <w:szCs w:val="24"/>
        </w:rPr>
      </w:pPr>
      <w:r>
        <w:rPr>
          <w:rFonts w:hint="eastAsia" w:ascii="仿宋" w:hAnsi="仿宋" w:eastAsia="仿宋" w:cs="仿宋"/>
          <w:color w:val="000000"/>
          <w:sz w:val="32"/>
          <w:szCs w:val="32"/>
        </w:rPr>
        <w:t>依托中心和网络，系统加强临床科研资源共建共享，推动生物样本、医疗健康大数据等资源的高效整合利用，在各疾病领域建成国际一流水平的生物样本库和数据库，为高水平科技攻关提供条件平台支持。</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2"/>
        <w:rPr>
          <w:rFonts w:eastAsia="黑体"/>
          <w:color w:val="0000FF"/>
          <w:sz w:val="24"/>
          <w:szCs w:val="24"/>
        </w:rPr>
      </w:pPr>
      <w:r>
        <w:rPr>
          <w:rFonts w:eastAsia="黑体"/>
          <w:color w:val="0000FF"/>
          <w:sz w:val="24"/>
          <w:szCs w:val="24"/>
        </w:rPr>
        <w:t>专栏3：建设医学研究平台</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57" w:type="dxa"/>
          <w:left w:w="57" w:type="dxa"/>
          <w:bottom w:w="57" w:type="dxa"/>
          <w:right w:w="57" w:type="dxa"/>
        </w:tblCellMar>
      </w:tblPr>
      <w:tblGrid>
        <w:gridCol w:w="9083"/>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7" w:type="dxa"/>
            <w:left w:w="57" w:type="dxa"/>
            <w:bottom w:w="57" w:type="dxa"/>
            <w:right w:w="57" w:type="dxa"/>
          </w:tblCellMar>
        </w:tblPrEx>
        <w:trPr>
          <w:trHeight w:val="567" w:hRule="atLeast"/>
          <w:jc w:val="center"/>
        </w:trPr>
        <w:tc>
          <w:tcPr>
            <w:tcW w:w="9083"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szCs w:val="24"/>
              </w:rPr>
            </w:pPr>
            <w:r>
              <w:rPr>
                <w:b/>
                <w:color w:val="000000"/>
                <w:sz w:val="24"/>
                <w:szCs w:val="24"/>
              </w:rPr>
              <w:t>建立国家临床样本平台。</w:t>
            </w:r>
            <w:r>
              <w:rPr>
                <w:color w:val="000000"/>
                <w:sz w:val="24"/>
                <w:szCs w:val="24"/>
              </w:rPr>
              <w:t>立足世界医学的前沿发展方向，进一步推动心血管疾病、恶性肿瘤、神经系统疾病、呼吸系统疾病、代谢性疾病、精神心理疾病等临床样本资源库的国际化、标准化和规范化建设，打造国际先进的生物样本管理平台，实现样本采集、流转、冻存、使用全程可追溯，确保样本的真实性、科学性和安全性，并探索生物样本库平台的高效运行与资源共享机制。</w:t>
            </w:r>
          </w:p>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szCs w:val="24"/>
              </w:rPr>
            </w:pPr>
            <w:r>
              <w:rPr>
                <w:b/>
                <w:color w:val="000000"/>
                <w:sz w:val="24"/>
                <w:szCs w:val="24"/>
              </w:rPr>
              <w:t>建立国家健康医疗研究大数据库。</w:t>
            </w:r>
            <w:r>
              <w:rPr>
                <w:color w:val="000000"/>
                <w:sz w:val="24"/>
                <w:szCs w:val="24"/>
              </w:rPr>
              <w:t>制定国际通用的疾病健康医疗信息数据集,建设信息平台软硬件系统，按照国际通行的标化规则对临床数据进行规范化整理，实现基于电子病历、移动医疗设备的临床科研一体化、集成化的数据采集模式。推进网络成员单位临床病例系统的升级改造，强化数据汇聚整合，构建国家健康医疗大数据库，促进和规范医疗健康大数据的应用。</w:t>
            </w:r>
          </w:p>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FF0000"/>
                <w:sz w:val="24"/>
                <w:szCs w:val="24"/>
              </w:rPr>
            </w:pPr>
            <w:r>
              <w:rPr>
                <w:b/>
                <w:bCs/>
                <w:sz w:val="24"/>
                <w:szCs w:val="24"/>
              </w:rPr>
              <w:t>建立药物和医疗器械临床评价平台。</w:t>
            </w:r>
            <w:r>
              <w:rPr>
                <w:sz w:val="24"/>
                <w:szCs w:val="24"/>
              </w:rPr>
              <w:t>鼓励中心按照</w:t>
            </w:r>
            <w:r>
              <w:rPr>
                <w:rFonts w:hint="eastAsia"/>
                <w:sz w:val="24"/>
                <w:szCs w:val="24"/>
              </w:rPr>
              <w:t>“</w:t>
            </w:r>
            <w:r>
              <w:rPr>
                <w:sz w:val="24"/>
                <w:szCs w:val="24"/>
              </w:rPr>
              <w:t>药物临床试验质量管理规范</w:t>
            </w:r>
            <w:r>
              <w:rPr>
                <w:rFonts w:hint="eastAsia"/>
                <w:sz w:val="24"/>
                <w:szCs w:val="24"/>
              </w:rPr>
              <w:t>”</w:t>
            </w:r>
            <w:r>
              <w:rPr>
                <w:sz w:val="24"/>
                <w:szCs w:val="24"/>
              </w:rPr>
              <w:t>和</w:t>
            </w:r>
            <w:r>
              <w:rPr>
                <w:rFonts w:hint="eastAsia"/>
                <w:sz w:val="24"/>
                <w:szCs w:val="24"/>
              </w:rPr>
              <w:t>“</w:t>
            </w:r>
            <w:r>
              <w:rPr>
                <w:sz w:val="24"/>
                <w:szCs w:val="24"/>
              </w:rPr>
              <w:t>医疗器械临床试验质量管理规范</w:t>
            </w:r>
            <w:r>
              <w:rPr>
                <w:rFonts w:hint="eastAsia"/>
                <w:sz w:val="24"/>
                <w:szCs w:val="24"/>
              </w:rPr>
              <w:t>”</w:t>
            </w:r>
            <w:r>
              <w:rPr>
                <w:sz w:val="24"/>
                <w:szCs w:val="24"/>
              </w:rPr>
              <w:t>的要求，建立药物和医疗器械的临床评价平台，积极推动国产药品和医疗器械加快进入临床诊疗实践。</w:t>
            </w:r>
          </w:p>
        </w:tc>
      </w:tr>
    </w:tbl>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33" w:name="_Toc474426569"/>
      <w:r>
        <w:rPr>
          <w:rFonts w:hint="eastAsia" w:ascii="宋体" w:hAnsi="宋体" w:eastAsia="宋体" w:cs="宋体"/>
          <w:sz w:val="24"/>
          <w:szCs w:val="24"/>
        </w:rPr>
        <w:t>（</w:t>
      </w:r>
      <w:r>
        <w:rPr>
          <w:rFonts w:hint="eastAsia" w:ascii="仿宋" w:hAnsi="仿宋" w:eastAsia="仿宋" w:cs="仿宋"/>
          <w:sz w:val="32"/>
          <w:szCs w:val="32"/>
        </w:rPr>
        <w:t>四）提升能力，培养领军人才和团队</w:t>
      </w:r>
      <w:bookmarkEnd w:id="33"/>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eastAsia="黑体"/>
          <w:color w:val="0000FF"/>
          <w:sz w:val="24"/>
          <w:szCs w:val="24"/>
        </w:rPr>
      </w:pPr>
      <w:r>
        <w:rPr>
          <w:rFonts w:hint="eastAsia" w:ascii="仿宋" w:hAnsi="仿宋" w:eastAsia="仿宋" w:cs="仿宋"/>
          <w:color w:val="000000"/>
          <w:sz w:val="32"/>
          <w:szCs w:val="32"/>
        </w:rPr>
        <w:t>中心要解决目前临床研究人员培训内容参差不齐、受众不全面等问题，利用互联网、学术会议等多种方式培养临床医学研究领军人才和创新团队，在实践中锻炼出一批国际一流水平的科研攻关创新主体。</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黑体"/>
          <w:color w:val="0000FF"/>
          <w:sz w:val="24"/>
          <w:szCs w:val="24"/>
        </w:rPr>
      </w:pPr>
      <w:r>
        <w:rPr>
          <w:rFonts w:eastAsia="黑体"/>
          <w:color w:val="0000FF"/>
          <w:sz w:val="24"/>
          <w:szCs w:val="24"/>
        </w:rPr>
        <w:t>专栏4：培养领军人才和团队</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57" w:type="dxa"/>
          <w:left w:w="57" w:type="dxa"/>
          <w:bottom w:w="57" w:type="dxa"/>
          <w:right w:w="57" w:type="dxa"/>
        </w:tblCellMar>
      </w:tblPr>
      <w:tblGrid>
        <w:gridCol w:w="9093"/>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7" w:type="dxa"/>
            <w:left w:w="57" w:type="dxa"/>
            <w:bottom w:w="57" w:type="dxa"/>
            <w:right w:w="57" w:type="dxa"/>
          </w:tblCellMar>
        </w:tblPrEx>
        <w:trPr>
          <w:trHeight w:val="567" w:hRule="atLeast"/>
          <w:jc w:val="center"/>
        </w:trPr>
        <w:tc>
          <w:tcPr>
            <w:tcW w:w="9093"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szCs w:val="24"/>
              </w:rPr>
            </w:pPr>
            <w:r>
              <w:rPr>
                <w:b/>
                <w:color w:val="000000"/>
                <w:sz w:val="24"/>
                <w:szCs w:val="24"/>
              </w:rPr>
              <w:t>培养领军人才和创新团队。</w:t>
            </w:r>
            <w:r>
              <w:rPr>
                <w:color w:val="000000"/>
                <w:sz w:val="24"/>
                <w:szCs w:val="24"/>
              </w:rPr>
              <w:t>积极开展学术交流，支持中心聘请高端人才，加强对医学科技领军人才和优秀创新团队的培养，培养一批高素质的与世界水平接轨的科研领军人才和创新团队。</w:t>
            </w:r>
          </w:p>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szCs w:val="24"/>
              </w:rPr>
            </w:pPr>
            <w:r>
              <w:rPr>
                <w:b/>
                <w:color w:val="000000"/>
                <w:sz w:val="24"/>
                <w:szCs w:val="24"/>
              </w:rPr>
              <w:t>培养临床研究专业人才。</w:t>
            </w:r>
            <w:r>
              <w:rPr>
                <w:color w:val="000000"/>
                <w:sz w:val="24"/>
                <w:szCs w:val="24"/>
              </w:rPr>
              <w:t>加强科研设计、数据管理、统计分析、质量控制、病例随访临床研究专业人才的规范化培训，建立集中培训（包括赴国际高水平医学研究机构的专题培训）、统一考核、资质评价的培养模式，形成一支规模化的高水平临床研究人才队伍。</w:t>
            </w:r>
          </w:p>
        </w:tc>
      </w:tr>
    </w:tbl>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34" w:name="_Toc474426570"/>
      <w:r>
        <w:rPr>
          <w:rFonts w:hint="eastAsia" w:ascii="仿宋" w:hAnsi="仿宋" w:eastAsia="仿宋" w:cs="仿宋"/>
          <w:sz w:val="32"/>
          <w:szCs w:val="32"/>
        </w:rPr>
        <w:t>（五）普及推广，提升基层医疗服务能力</w:t>
      </w:r>
      <w:bookmarkEnd w:id="34"/>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宋体" w:hAnsi="宋体" w:eastAsia="宋体" w:cs="宋体"/>
          <w:color w:val="000000"/>
          <w:sz w:val="24"/>
          <w:szCs w:val="24"/>
        </w:rPr>
      </w:pPr>
      <w:r>
        <w:rPr>
          <w:rFonts w:hint="eastAsia" w:ascii="仿宋" w:hAnsi="仿宋" w:eastAsia="仿宋" w:cs="仿宋"/>
          <w:color w:val="000000"/>
          <w:sz w:val="32"/>
          <w:szCs w:val="32"/>
        </w:rPr>
        <w:t>依托中心及其协同创新网络，面向广大基层的实际需求，通过开展技术培训和适宜技术推广，加强实时远程会诊和临床指导等网络服务，做好与医疗联合体建设的有效衔接，提升基层医疗机构的服务能力。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2"/>
        <w:rPr>
          <w:rFonts w:hint="eastAsia" w:ascii="黑体" w:hAnsi="黑体" w:eastAsia="黑体" w:cs="黑体"/>
          <w:color w:val="0000FF"/>
          <w:sz w:val="24"/>
          <w:szCs w:val="24"/>
        </w:rPr>
      </w:pPr>
      <w:r>
        <w:rPr>
          <w:rFonts w:hint="eastAsia" w:ascii="黑体" w:hAnsi="黑体" w:eastAsia="黑体" w:cs="黑体"/>
          <w:color w:val="0000FF"/>
          <w:sz w:val="24"/>
          <w:szCs w:val="24"/>
        </w:rPr>
        <w:t>专栏5：普及推广行动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57" w:type="dxa"/>
          <w:left w:w="57" w:type="dxa"/>
          <w:bottom w:w="57" w:type="dxa"/>
          <w:right w:w="57" w:type="dxa"/>
        </w:tblCellMar>
      </w:tblPr>
      <w:tblGrid>
        <w:gridCol w:w="9104"/>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7" w:type="dxa"/>
            <w:left w:w="57" w:type="dxa"/>
            <w:bottom w:w="57" w:type="dxa"/>
            <w:right w:w="57" w:type="dxa"/>
          </w:tblCellMar>
        </w:tblPrEx>
        <w:trPr>
          <w:trHeight w:val="567" w:hRule="atLeast"/>
          <w:jc w:val="center"/>
        </w:trPr>
        <w:tc>
          <w:tcPr>
            <w:tcW w:w="9104"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szCs w:val="24"/>
              </w:rPr>
            </w:pPr>
            <w:r>
              <w:rPr>
                <w:b/>
                <w:bCs/>
                <w:color w:val="000000"/>
                <w:sz w:val="24"/>
                <w:szCs w:val="24"/>
              </w:rPr>
              <w:t>基层适宜技术推广科技行动。</w:t>
            </w:r>
            <w:r>
              <w:rPr>
                <w:color w:val="000000"/>
                <w:sz w:val="24"/>
                <w:szCs w:val="24"/>
              </w:rPr>
              <w:t>发挥中心的作用，重点加强先进适宜技术推广，重点推广50-80项适宜社区、乡镇基层使用的重点病种规范化诊疗技术新方案，持续提升基层医疗服务技术水平。</w:t>
            </w:r>
          </w:p>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szCs w:val="24"/>
              </w:rPr>
            </w:pPr>
            <w:r>
              <w:rPr>
                <w:b/>
                <w:bCs/>
                <w:color w:val="000000"/>
                <w:sz w:val="24"/>
                <w:szCs w:val="24"/>
              </w:rPr>
              <w:t>网络协同服务科技行动。</w:t>
            </w:r>
            <w:r>
              <w:rPr>
                <w:color w:val="000000"/>
                <w:sz w:val="24"/>
                <w:szCs w:val="24"/>
              </w:rPr>
              <w:t>依托协同创新网络，充分运用互联网和通信技术等技术，加强远程会诊和指导、教育培训等网络服务，建立有效的网络协同服务机制，加快把大医院的优质医疗资源下沉至基层。</w:t>
            </w:r>
          </w:p>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szCs w:val="24"/>
              </w:rPr>
            </w:pPr>
            <w:r>
              <w:rPr>
                <w:b/>
                <w:bCs/>
                <w:color w:val="000000"/>
                <w:sz w:val="24"/>
                <w:szCs w:val="24"/>
              </w:rPr>
              <w:t>帮扶地方</w:t>
            </w:r>
            <w:r>
              <w:rPr>
                <w:rFonts w:hint="eastAsia"/>
                <w:b/>
                <w:bCs/>
                <w:color w:val="000000"/>
                <w:sz w:val="24"/>
                <w:szCs w:val="24"/>
              </w:rPr>
              <w:t>“</w:t>
            </w:r>
            <w:r>
              <w:rPr>
                <w:b/>
                <w:bCs/>
                <w:color w:val="000000"/>
                <w:sz w:val="24"/>
                <w:szCs w:val="24"/>
              </w:rPr>
              <w:t>精准</w:t>
            </w:r>
            <w:r>
              <w:rPr>
                <w:rFonts w:hint="eastAsia"/>
                <w:b/>
                <w:bCs/>
                <w:color w:val="000000"/>
                <w:sz w:val="24"/>
                <w:szCs w:val="24"/>
              </w:rPr>
              <w:t>”</w:t>
            </w:r>
            <w:r>
              <w:rPr>
                <w:b/>
                <w:bCs/>
                <w:color w:val="000000"/>
                <w:sz w:val="24"/>
                <w:szCs w:val="24"/>
              </w:rPr>
              <w:t>对接。</w:t>
            </w:r>
            <w:r>
              <w:rPr>
                <w:color w:val="000000"/>
                <w:sz w:val="24"/>
                <w:szCs w:val="24"/>
              </w:rPr>
              <w:t>针对重点贫困地区的疾病防控需求，推动中心与当地医疗机构精准对接，开展稳定的技术支援、远程指导、人员培训、专家会诊，以及诊疗指南和技术规范的推广应用等。</w:t>
            </w:r>
          </w:p>
          <w:p>
            <w:pPr>
              <w:keepNext w:val="0"/>
              <w:keepLines w:val="0"/>
              <w:pageBreakBefore w:val="0"/>
              <w:widowControl w:val="0"/>
              <w:kinsoku/>
              <w:wordWrap/>
              <w:overflowPunct/>
              <w:topLinePunct w:val="0"/>
              <w:autoSpaceDE/>
              <w:autoSpaceDN/>
              <w:bidi w:val="0"/>
              <w:adjustRightInd w:val="0"/>
              <w:snapToGrid w:val="0"/>
              <w:spacing w:line="0" w:lineRule="atLeast"/>
              <w:ind w:firstLine="482"/>
              <w:textAlignment w:val="auto"/>
              <w:rPr>
                <w:color w:val="000000"/>
                <w:sz w:val="24"/>
                <w:szCs w:val="24"/>
              </w:rPr>
            </w:pPr>
            <w:r>
              <w:rPr>
                <w:b/>
                <w:bCs/>
                <w:color w:val="000000"/>
                <w:sz w:val="24"/>
                <w:szCs w:val="24"/>
              </w:rPr>
              <w:t>建设科普基地。</w:t>
            </w:r>
            <w:r>
              <w:rPr>
                <w:color w:val="000000"/>
                <w:sz w:val="24"/>
                <w:szCs w:val="24"/>
              </w:rPr>
              <w:t>积极推动中心纳入国家特色科普基地，引导中心及网络成员单位建设全国科普教育基地，加快面向公众的健康医疗知识的普及推广。</w:t>
            </w:r>
          </w:p>
        </w:tc>
      </w:tr>
    </w:tbl>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auto"/>
        <w:rPr>
          <w:rFonts w:hint="eastAsia" w:ascii="仿宋" w:hAnsi="仿宋" w:eastAsia="仿宋" w:cs="仿宋"/>
          <w:sz w:val="32"/>
          <w:szCs w:val="32"/>
        </w:rPr>
      </w:pPr>
      <w:bookmarkStart w:id="35" w:name="_Toc474426571"/>
      <w:r>
        <w:rPr>
          <w:rFonts w:hint="eastAsia" w:ascii="仿宋" w:hAnsi="仿宋" w:eastAsia="仿宋" w:cs="仿宋"/>
          <w:sz w:val="32"/>
          <w:szCs w:val="32"/>
        </w:rPr>
        <w:t>（六）开放创新，加强国际科技合作和交流</w:t>
      </w:r>
      <w:bookmarkEnd w:id="35"/>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eastAsia="黑体"/>
          <w:color w:val="0000FF"/>
          <w:sz w:val="28"/>
          <w:szCs w:val="24"/>
        </w:rPr>
      </w:pPr>
      <w:r>
        <w:rPr>
          <w:rFonts w:hint="eastAsia" w:ascii="仿宋" w:hAnsi="仿宋" w:eastAsia="仿宋" w:cs="仿宋"/>
          <w:color w:val="000000"/>
          <w:sz w:val="32"/>
          <w:szCs w:val="32"/>
        </w:rPr>
        <w:t>积极开展疾病防控领域国际科技交流与合作，推进重大疾病国际科技合作研究网络的建设，打造国际化临床科研攻关团队，推动与“一带一路”国家临床医学研究合作。</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2"/>
        <w:rPr>
          <w:rFonts w:eastAsia="黑体"/>
          <w:color w:val="0000FF"/>
          <w:sz w:val="28"/>
          <w:szCs w:val="24"/>
        </w:rPr>
      </w:pPr>
      <w:r>
        <w:rPr>
          <w:rFonts w:eastAsia="黑体"/>
          <w:color w:val="0000FF"/>
          <w:sz w:val="28"/>
          <w:szCs w:val="24"/>
        </w:rPr>
        <w:t>专栏6：国际科技合作和交流</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57" w:type="dxa"/>
          <w:left w:w="57" w:type="dxa"/>
          <w:bottom w:w="57" w:type="dxa"/>
          <w:right w:w="57" w:type="dxa"/>
        </w:tblCellMar>
      </w:tblPr>
      <w:tblGrid>
        <w:gridCol w:w="9089"/>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7" w:type="dxa"/>
            <w:left w:w="57" w:type="dxa"/>
            <w:bottom w:w="57" w:type="dxa"/>
            <w:right w:w="57" w:type="dxa"/>
          </w:tblCellMar>
        </w:tblPrEx>
        <w:trPr>
          <w:trHeight w:val="567" w:hRule="atLeast"/>
          <w:jc w:val="center"/>
        </w:trPr>
        <w:tc>
          <w:tcPr>
            <w:tcW w:w="9089"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color w:val="000000"/>
                <w:sz w:val="24"/>
                <w:szCs w:val="24"/>
              </w:rPr>
            </w:pPr>
            <w:r>
              <w:rPr>
                <w:b/>
                <w:color w:val="000000"/>
                <w:sz w:val="24"/>
                <w:szCs w:val="24"/>
              </w:rPr>
              <w:t>建设高水平国际合作研究网络。</w:t>
            </w:r>
            <w:r>
              <w:rPr>
                <w:color w:val="000000"/>
                <w:sz w:val="24"/>
                <w:szCs w:val="24"/>
              </w:rPr>
              <w:t>推进中心与世界一流大学、研究院所、医疗机构和著名跨国企业等建立战略合作伙伴关系，依托中心搭建国际临床研究创新网络，提升国际影响力，引领临床研究发展和医学科学进步。</w:t>
            </w:r>
          </w:p>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color w:val="000000"/>
                <w:sz w:val="24"/>
                <w:szCs w:val="24"/>
              </w:rPr>
            </w:pPr>
            <w:r>
              <w:rPr>
                <w:b/>
                <w:bCs/>
                <w:color w:val="000000"/>
                <w:sz w:val="24"/>
                <w:szCs w:val="24"/>
              </w:rPr>
              <w:t>开展重大疾病国际化协同创新研究。</w:t>
            </w:r>
            <w:r>
              <w:rPr>
                <w:color w:val="000000"/>
                <w:sz w:val="24"/>
                <w:szCs w:val="24"/>
              </w:rPr>
              <w:t>在心血管疾病、恶性肿瘤、神经系统疾病、呼吸系统疾病、代谢性疾病、精神心理疾病等重大疾病领域，重点加强与医学高水平国家的临床研究合作，组织开展国际化、高质量的多中心临床研究，充分利用全球资源，加强我国临床研究的能力建设。</w:t>
            </w:r>
          </w:p>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color w:val="000000"/>
                <w:sz w:val="24"/>
              </w:rPr>
            </w:pPr>
            <w:r>
              <w:rPr>
                <w:b/>
                <w:color w:val="000000"/>
                <w:sz w:val="24"/>
                <w:szCs w:val="24"/>
              </w:rPr>
              <w:t>积极开展与</w:t>
            </w:r>
            <w:r>
              <w:rPr>
                <w:rFonts w:hint="eastAsia"/>
                <w:b/>
                <w:color w:val="000000"/>
                <w:sz w:val="24"/>
                <w:szCs w:val="24"/>
              </w:rPr>
              <w:t>“</w:t>
            </w:r>
            <w:r>
              <w:rPr>
                <w:b/>
                <w:color w:val="000000"/>
                <w:sz w:val="24"/>
                <w:szCs w:val="24"/>
              </w:rPr>
              <w:t>一带一路</w:t>
            </w:r>
            <w:r>
              <w:rPr>
                <w:rFonts w:hint="eastAsia"/>
                <w:b/>
                <w:color w:val="000000"/>
                <w:sz w:val="24"/>
                <w:szCs w:val="24"/>
              </w:rPr>
              <w:t>”</w:t>
            </w:r>
            <w:r>
              <w:rPr>
                <w:b/>
                <w:color w:val="000000"/>
                <w:sz w:val="24"/>
                <w:szCs w:val="24"/>
              </w:rPr>
              <w:t>国家的合作。</w:t>
            </w:r>
            <w:r>
              <w:rPr>
                <w:color w:val="000000"/>
                <w:sz w:val="24"/>
                <w:szCs w:val="24"/>
              </w:rPr>
              <w:t>落实国家</w:t>
            </w:r>
            <w:r>
              <w:rPr>
                <w:rFonts w:hint="eastAsia"/>
                <w:color w:val="000000"/>
                <w:sz w:val="24"/>
                <w:szCs w:val="24"/>
              </w:rPr>
              <w:t>“</w:t>
            </w:r>
            <w:r>
              <w:rPr>
                <w:color w:val="000000"/>
                <w:sz w:val="24"/>
                <w:szCs w:val="24"/>
              </w:rPr>
              <w:t>一带一路</w:t>
            </w:r>
            <w:r>
              <w:rPr>
                <w:rFonts w:hint="eastAsia"/>
                <w:color w:val="000000"/>
                <w:sz w:val="24"/>
                <w:szCs w:val="24"/>
              </w:rPr>
              <w:t>”</w:t>
            </w:r>
            <w:r>
              <w:rPr>
                <w:color w:val="000000"/>
                <w:sz w:val="24"/>
                <w:szCs w:val="24"/>
              </w:rPr>
              <w:t>规划愿景，以临床医学科技合作为切入点，开展技术共享和共同创新，推动</w:t>
            </w:r>
            <w:r>
              <w:rPr>
                <w:rFonts w:hint="eastAsia"/>
                <w:color w:val="000000"/>
                <w:sz w:val="24"/>
                <w:szCs w:val="24"/>
              </w:rPr>
              <w:t>“</w:t>
            </w:r>
            <w:r>
              <w:rPr>
                <w:color w:val="000000"/>
                <w:sz w:val="24"/>
                <w:szCs w:val="24"/>
              </w:rPr>
              <w:t>一带一路</w:t>
            </w:r>
            <w:r>
              <w:rPr>
                <w:rFonts w:hint="eastAsia"/>
                <w:color w:val="000000"/>
                <w:sz w:val="24"/>
                <w:szCs w:val="24"/>
              </w:rPr>
              <w:t>”</w:t>
            </w:r>
            <w:r>
              <w:rPr>
                <w:color w:val="000000"/>
                <w:sz w:val="24"/>
                <w:szCs w:val="24"/>
              </w:rPr>
              <w:t>地区临床医学研究的共同发展。</w:t>
            </w:r>
          </w:p>
        </w:tc>
      </w:tr>
    </w:tbl>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36" w:name="_Toc474426572"/>
      <w:r>
        <w:rPr>
          <w:rFonts w:hint="eastAsia" w:ascii="仿宋" w:hAnsi="仿宋" w:eastAsia="仿宋" w:cs="仿宋"/>
          <w:sz w:val="32"/>
          <w:szCs w:val="32"/>
        </w:rPr>
        <w:t>（七）医研企协同，助力健康产业发展</w:t>
      </w:r>
      <w:bookmarkEnd w:id="36"/>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color w:val="0000FF"/>
          <w:sz w:val="32"/>
          <w:szCs w:val="32"/>
        </w:rPr>
      </w:pPr>
      <w:r>
        <w:rPr>
          <w:rFonts w:hint="eastAsia" w:ascii="仿宋" w:hAnsi="仿宋" w:eastAsia="仿宋" w:cs="仿宋"/>
          <w:color w:val="000000"/>
          <w:sz w:val="32"/>
          <w:szCs w:val="32"/>
        </w:rPr>
        <w:t>充分发挥中心作为医药产品创新应用平台的作用，促进医研企协同创新，积极开展医药产品的开发和临床评价研究，重点组织开展50-80项医药产品的开发和临床评价研究，加快自主创新医药产品的开发和应用，助力健康产业发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2"/>
        <w:rPr>
          <w:rFonts w:eastAsia="黑体"/>
          <w:color w:val="0000FF"/>
          <w:sz w:val="24"/>
          <w:szCs w:val="24"/>
        </w:rPr>
      </w:pPr>
      <w:r>
        <w:rPr>
          <w:rFonts w:eastAsia="黑体"/>
          <w:color w:val="0000FF"/>
          <w:sz w:val="24"/>
          <w:szCs w:val="24"/>
        </w:rPr>
        <w:t>专栏7：促进医学科技成果转移转化</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57" w:type="dxa"/>
          <w:left w:w="57" w:type="dxa"/>
          <w:bottom w:w="57" w:type="dxa"/>
          <w:right w:w="57" w:type="dxa"/>
        </w:tblCellMar>
      </w:tblPr>
      <w:tblGrid>
        <w:gridCol w:w="914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7" w:type="dxa"/>
            <w:left w:w="57" w:type="dxa"/>
            <w:bottom w:w="57" w:type="dxa"/>
            <w:right w:w="57" w:type="dxa"/>
          </w:tblCellMar>
        </w:tblPrEx>
        <w:trPr>
          <w:trHeight w:val="567" w:hRule="atLeast"/>
          <w:jc w:val="center"/>
        </w:trPr>
        <w:tc>
          <w:tcPr>
            <w:tcW w:w="9141"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color w:val="000000"/>
                <w:sz w:val="24"/>
                <w:szCs w:val="24"/>
              </w:rPr>
            </w:pPr>
            <w:r>
              <w:rPr>
                <w:b/>
                <w:color w:val="000000"/>
                <w:sz w:val="24"/>
                <w:szCs w:val="24"/>
              </w:rPr>
              <w:t>推进协同研发。</w:t>
            </w:r>
            <w:r>
              <w:rPr>
                <w:color w:val="000000"/>
                <w:sz w:val="24"/>
                <w:szCs w:val="24"/>
              </w:rPr>
              <w:t>积极联合企业开展原创产品的研发，打造医、研、企紧密结合的医学创新联合体，并以临床应用为导向，提升原始创新水平，开展高质量、高水平的临床研究和疗效评价研究，着重加强国产新药和医疗器械的临床评价研究和产品孵化，推动科技成果向下游产业转化，推进健康产业高端化、集约化、国际化发展，抢占健康经济发展的战略高地。</w:t>
            </w:r>
          </w:p>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color w:val="000000"/>
                <w:sz w:val="24"/>
              </w:rPr>
            </w:pPr>
            <w:r>
              <w:rPr>
                <w:b/>
                <w:bCs/>
                <w:color w:val="000000"/>
                <w:sz w:val="24"/>
                <w:szCs w:val="24"/>
              </w:rPr>
              <w:t>促进健康产业发展。</w:t>
            </w:r>
            <w:r>
              <w:rPr>
                <w:color w:val="000000"/>
                <w:sz w:val="24"/>
                <w:szCs w:val="24"/>
              </w:rPr>
              <w:t>发挥协同创新网络的作用，抓住当前移动医疗、健康管理、中医治未病等产业蓬勃发展的机遇，鼓励广大医学科技工作者开展成果转化和技术服务创业，在心血管疾病、恶性肿瘤、神经系统疾病、呼吸系统疾病、代谢性疾病、精神心理疾病等重大疾病领域打造5-10个全链条式新型创新创业联合体，促进药品、器械、疫苗、试剂的开发和临床转化。</w:t>
            </w:r>
          </w:p>
        </w:tc>
      </w:tr>
    </w:tbl>
    <w:p>
      <w:pPr>
        <w:pStyle w:val="2"/>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37" w:name="_Toc474426573"/>
      <w:r>
        <w:rPr>
          <w:rFonts w:hint="eastAsia" w:ascii="仿宋" w:hAnsi="仿宋" w:eastAsia="仿宋" w:cs="仿宋"/>
          <w:sz w:val="32"/>
          <w:szCs w:val="32"/>
        </w:rPr>
        <w:t>四、保障措施</w:t>
      </w:r>
      <w:bookmarkEnd w:id="37"/>
      <w:bookmarkStart w:id="38" w:name="_Toc443248675"/>
      <w:bookmarkStart w:id="39" w:name="_Toc443248674"/>
      <w:bookmarkStart w:id="40" w:name="_Toc428274134"/>
      <w:bookmarkStart w:id="41" w:name="_Toc428274044"/>
      <w:bookmarkStart w:id="42" w:name="_Toc416190907"/>
      <w:bookmarkStart w:id="43" w:name="_Toc419045626"/>
      <w:bookmarkStart w:id="44" w:name="_Toc419045264"/>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45" w:name="_Toc474426574"/>
      <w:r>
        <w:rPr>
          <w:rFonts w:hint="eastAsia" w:ascii="仿宋" w:hAnsi="仿宋" w:eastAsia="仿宋" w:cs="仿宋"/>
          <w:sz w:val="32"/>
          <w:szCs w:val="32"/>
        </w:rPr>
        <w:t>（一）加强组织领导，协同推进建设</w:t>
      </w:r>
      <w:bookmarkEnd w:id="45"/>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color w:val="FF0000"/>
          <w:sz w:val="32"/>
          <w:szCs w:val="32"/>
        </w:rPr>
      </w:pPr>
      <w:r>
        <w:rPr>
          <w:rFonts w:hint="eastAsia" w:ascii="仿宋" w:hAnsi="仿宋" w:eastAsia="仿宋" w:cs="仿宋"/>
          <w:color w:val="000000"/>
          <w:sz w:val="32"/>
          <w:szCs w:val="32"/>
        </w:rPr>
        <w:t>进一步加强科技部、国家卫生计生委、军委后勤保障部、食品药品监管总局等相关部门的工作配合，发挥科卫协同、军民融合、省部会商等机制的作用，统筹设计并组织实施中心的建设工作，加强对中心在人才培养、享受科研机构优惠政策、国际合作、成果转移转化</w:t>
      </w:r>
      <w:r>
        <w:rPr>
          <w:rFonts w:hint="eastAsia" w:ascii="仿宋" w:hAnsi="仿宋" w:eastAsia="仿宋" w:cs="仿宋"/>
          <w:sz w:val="32"/>
          <w:szCs w:val="32"/>
        </w:rPr>
        <w:t>、干细胞研究基地和项目等备案、药物和器械临床试验审评审批</w:t>
      </w:r>
      <w:r>
        <w:rPr>
          <w:rFonts w:hint="eastAsia" w:ascii="仿宋" w:hAnsi="仿宋" w:eastAsia="仿宋" w:cs="仿宋"/>
          <w:color w:val="000000"/>
          <w:sz w:val="32"/>
          <w:szCs w:val="32"/>
        </w:rPr>
        <w:t>等多方面的支持。</w:t>
      </w:r>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46" w:name="_Toc474426575"/>
      <w:r>
        <w:rPr>
          <w:rFonts w:hint="eastAsia" w:ascii="仿宋" w:hAnsi="仿宋" w:eastAsia="仿宋" w:cs="仿宋"/>
          <w:sz w:val="32"/>
          <w:szCs w:val="32"/>
        </w:rPr>
        <w:t>（二）建立长效机制，稳定支持运行</w:t>
      </w:r>
      <w:bookmarkEnd w:id="46"/>
    </w:p>
    <w:p>
      <w:pPr>
        <w:keepNext w:val="0"/>
        <w:keepLines w:val="0"/>
        <w:pageBreakBefore w:val="0"/>
        <w:widowControl w:val="0"/>
        <w:kinsoku/>
        <w:wordWrap/>
        <w:overflowPunct/>
        <w:topLinePunct w:val="0"/>
        <w:autoSpaceDE/>
        <w:autoSpaceDN/>
        <w:bidi w:val="0"/>
        <w:adjustRightInd w:val="0"/>
        <w:snapToGrid w:val="0"/>
        <w:spacing w:line="240" w:lineRule="auto"/>
        <w:ind w:firstLine="652"/>
        <w:textAlignment w:val="auto"/>
        <w:outlineLvl w:val="2"/>
        <w:rPr>
          <w:rFonts w:hint="eastAsia" w:ascii="仿宋" w:hAnsi="仿宋" w:eastAsia="仿宋" w:cs="仿宋"/>
          <w:color w:val="000000"/>
          <w:sz w:val="32"/>
          <w:szCs w:val="32"/>
        </w:rPr>
      </w:pPr>
      <w:r>
        <w:rPr>
          <w:rFonts w:hint="eastAsia" w:ascii="仿宋" w:hAnsi="仿宋" w:eastAsia="仿宋" w:cs="仿宋"/>
          <w:color w:val="000000"/>
          <w:spacing w:val="3"/>
          <w:sz w:val="32"/>
          <w:szCs w:val="32"/>
        </w:rPr>
        <w:t>建立多渠道推进中心建设的支持机制。积极创造条件，鼓励中心通过国家重点研发计划、基地与人才专项等科技计划（专项、基金等）和其他资金投入等多种渠道得到持续、稳定的支持，</w:t>
      </w:r>
      <w:r>
        <w:rPr>
          <w:rFonts w:hint="eastAsia" w:ascii="仿宋" w:hAnsi="仿宋" w:eastAsia="仿宋" w:cs="仿宋"/>
          <w:spacing w:val="3"/>
          <w:sz w:val="32"/>
          <w:szCs w:val="32"/>
        </w:rPr>
        <w:t>扩大临床研究经费和成果使用处置自主权，</w:t>
      </w:r>
      <w:r>
        <w:rPr>
          <w:rFonts w:hint="eastAsia" w:ascii="仿宋" w:hAnsi="仿宋" w:eastAsia="仿宋" w:cs="仿宋"/>
          <w:color w:val="000000"/>
          <w:spacing w:val="3"/>
          <w:sz w:val="32"/>
          <w:szCs w:val="32"/>
        </w:rPr>
        <w:t>保障中心及网络运行、资源平台建设等需求。</w:t>
      </w:r>
      <w:bookmarkEnd w:id="38"/>
      <w:bookmarkEnd w:id="39"/>
      <w:r>
        <w:rPr>
          <w:rFonts w:hint="eastAsia" w:ascii="仿宋" w:hAnsi="仿宋" w:eastAsia="仿宋" w:cs="仿宋"/>
          <w:color w:val="000000"/>
          <w:spacing w:val="3"/>
          <w:sz w:val="32"/>
          <w:szCs w:val="32"/>
        </w:rPr>
        <w:t>引导地方政府投入，将申报单位所在地政府的相关配套政策和支持措施作为中心综合评审的重要指标之一。</w:t>
      </w:r>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47" w:name="_Toc474426576"/>
      <w:r>
        <w:rPr>
          <w:rFonts w:hint="eastAsia" w:ascii="仿宋" w:hAnsi="仿宋" w:eastAsia="仿宋" w:cs="仿宋"/>
          <w:sz w:val="32"/>
          <w:szCs w:val="32"/>
        </w:rPr>
        <w:t>（三）完善管理体系，强化考核评估</w:t>
      </w:r>
      <w:bookmarkEnd w:id="47"/>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outlineLvl w:val="2"/>
        <w:rPr>
          <w:rFonts w:hint="eastAsia" w:ascii="仿宋" w:hAnsi="仿宋" w:eastAsia="仿宋" w:cs="仿宋"/>
          <w:color w:val="000000"/>
          <w:sz w:val="32"/>
          <w:szCs w:val="32"/>
        </w:rPr>
      </w:pPr>
      <w:r>
        <w:rPr>
          <w:rFonts w:hint="eastAsia" w:ascii="仿宋" w:hAnsi="仿宋" w:eastAsia="仿宋" w:cs="仿宋"/>
          <w:color w:val="000000"/>
          <w:sz w:val="32"/>
          <w:szCs w:val="32"/>
        </w:rPr>
        <w:t>进一步完善中心管理办法，重点加强对中心的考核评估，制定科学合理的中心考核评估方案，定期对中心进行考核评估，将考评结果作为分级支持中心建设发展的重要依据。</w:t>
      </w:r>
      <w:bookmarkEnd w:id="40"/>
      <w:bookmarkEnd w:id="41"/>
      <w:bookmarkEnd w:id="42"/>
      <w:bookmarkEnd w:id="43"/>
      <w:bookmarkEnd w:id="44"/>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bookmarkStart w:id="48" w:name="_Toc474426577"/>
      <w:r>
        <w:rPr>
          <w:rFonts w:hint="eastAsia" w:ascii="仿宋" w:hAnsi="仿宋" w:eastAsia="仿宋" w:cs="仿宋"/>
          <w:sz w:val="32"/>
          <w:szCs w:val="32"/>
        </w:rPr>
        <w:t>（四）强化激励机制，推动中心建设持续改进</w:t>
      </w:r>
      <w:bookmarkEnd w:id="48"/>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仿宋" w:hAnsi="仿宋" w:eastAsia="仿宋" w:cs="仿宋"/>
          <w:sz w:val="32"/>
          <w:szCs w:val="32"/>
        </w:rPr>
      </w:pPr>
      <w:r>
        <w:rPr>
          <w:rFonts w:hint="eastAsia" w:ascii="仿宋" w:hAnsi="仿宋" w:eastAsia="仿宋" w:cs="仿宋"/>
          <w:color w:val="000000"/>
          <w:sz w:val="32"/>
          <w:szCs w:val="32"/>
        </w:rPr>
        <w:t>加强系统设计、分类管理，制定分等级、精细化的激励机制，对临床研究人员推行以增加知识价值为导向、</w:t>
      </w:r>
      <w:r>
        <w:rPr>
          <w:rFonts w:hint="eastAsia" w:ascii="仿宋" w:hAnsi="仿宋" w:eastAsia="仿宋" w:cs="仿宋"/>
          <w:sz w:val="32"/>
          <w:szCs w:val="32"/>
        </w:rPr>
        <w:t>与岗位职责目标相统一的收入分配制度和稳定增长机制，提高科研人员成果转化收益比例，研究推进临床研究劳务报酬激励政策的突破，使中心建设的各环节持</w:t>
      </w:r>
      <w:r>
        <w:rPr>
          <w:rFonts w:hint="eastAsia" w:ascii="仿宋" w:hAnsi="仿宋" w:eastAsia="仿宋" w:cs="仿宋"/>
          <w:color w:val="000000"/>
          <w:sz w:val="32"/>
          <w:szCs w:val="32"/>
        </w:rPr>
        <w:t>续激发活力，推动中心建设各项工作的持续改进和发展。</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rPr>
      </w:pPr>
    </w:p>
    <w:p>
      <w:pPr>
        <w:spacing w:before="156" w:beforeLines="50" w:line="360" w:lineRule="auto"/>
        <w:ind w:firstLine="0" w:firstLineChars="0"/>
        <w:jc w:val="left"/>
        <w:outlineLvl w:val="2"/>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24"/>
          <w:szCs w:val="24"/>
        </w:rPr>
        <w:t>附表</w:t>
      </w:r>
    </w:p>
    <w:p>
      <w:pPr>
        <w:spacing w:line="300" w:lineRule="auto"/>
        <w:ind w:firstLine="0" w:firstLineChars="0"/>
        <w:jc w:val="center"/>
        <w:outlineLvl w:val="2"/>
        <w:rPr>
          <w:rFonts w:hint="eastAsia" w:ascii="宋体" w:hAnsi="宋体" w:eastAsia="宋体" w:cs="宋体"/>
          <w:b/>
          <w:bCs/>
          <w:color w:val="0000FF"/>
          <w:sz w:val="36"/>
        </w:rPr>
      </w:pPr>
      <w:r>
        <w:rPr>
          <w:rFonts w:hint="eastAsia" w:ascii="宋体" w:hAnsi="宋体" w:eastAsia="宋体" w:cs="宋体"/>
          <w:b/>
          <w:bCs/>
          <w:color w:val="0000FF"/>
          <w:sz w:val="36"/>
        </w:rPr>
        <w:t>“十三五”国家临床医学研究中心建设</w:t>
      </w:r>
    </w:p>
    <w:p>
      <w:pPr>
        <w:spacing w:line="300" w:lineRule="auto"/>
        <w:ind w:firstLine="0" w:firstLineChars="0"/>
        <w:jc w:val="center"/>
        <w:outlineLvl w:val="2"/>
        <w:rPr>
          <w:rFonts w:hint="eastAsia" w:ascii="宋体" w:hAnsi="宋体" w:eastAsia="宋体" w:cs="宋体"/>
          <w:b/>
          <w:bCs/>
          <w:color w:val="0000FF"/>
          <w:sz w:val="36"/>
        </w:rPr>
      </w:pPr>
      <w:r>
        <w:rPr>
          <w:rFonts w:hint="eastAsia" w:ascii="宋体" w:hAnsi="宋体" w:eastAsia="宋体" w:cs="宋体"/>
          <w:b/>
          <w:bCs/>
          <w:color w:val="0000FF"/>
          <w:sz w:val="36"/>
        </w:rPr>
        <w:t>主要疾病领域和临床专科</w:t>
      </w:r>
    </w:p>
    <w:p>
      <w:pPr>
        <w:spacing w:line="300" w:lineRule="auto"/>
        <w:ind w:firstLine="0" w:firstLineChars="0"/>
        <w:jc w:val="center"/>
        <w:outlineLvl w:val="2"/>
        <w:rPr>
          <w:rFonts w:eastAsia="长城小标宋体"/>
          <w:b/>
          <w:bCs/>
          <w:sz w:val="24"/>
        </w:rPr>
      </w:pPr>
    </w:p>
    <w:tbl>
      <w:tblPr>
        <w:tblStyle w:val="6"/>
        <w:tblW w:w="9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57" w:type="dxa"/>
          <w:bottom w:w="57" w:type="dxa"/>
          <w:right w:w="57" w:type="dxa"/>
        </w:tblCellMar>
      </w:tblPr>
      <w:tblGrid>
        <w:gridCol w:w="827"/>
        <w:gridCol w:w="2385"/>
        <w:gridCol w:w="5190"/>
        <w:gridCol w:w="1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tblHeader/>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ascii="黑体" w:hAnsi="黑体" w:eastAsia="黑体"/>
                <w:sz w:val="24"/>
              </w:rPr>
            </w:pPr>
            <w:r>
              <w:rPr>
                <w:rFonts w:hint="eastAsia" w:ascii="黑体" w:hAnsi="黑体" w:eastAsia="黑体"/>
                <w:sz w:val="24"/>
              </w:rPr>
              <w:t>序号</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ascii="黑体" w:hAnsi="黑体" w:eastAsia="黑体"/>
                <w:sz w:val="24"/>
              </w:rPr>
            </w:pPr>
            <w:r>
              <w:rPr>
                <w:rFonts w:hint="eastAsia" w:ascii="黑体" w:hAnsi="黑体" w:eastAsia="黑体"/>
                <w:sz w:val="24"/>
              </w:rPr>
              <w:t>疾病领域/临床专科</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ascii="黑体" w:hAnsi="黑体" w:eastAsia="黑体"/>
                <w:sz w:val="24"/>
              </w:rPr>
            </w:pPr>
            <w:r>
              <w:rPr>
                <w:rFonts w:hint="eastAsia" w:ascii="黑体" w:hAnsi="黑体" w:eastAsia="黑体"/>
                <w:sz w:val="24"/>
              </w:rPr>
              <w:t>重点病种/技术领域</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ascii="黑体" w:hAnsi="黑体" w:eastAsia="黑体"/>
                <w:sz w:val="24"/>
              </w:rPr>
            </w:pPr>
            <w:r>
              <w:rPr>
                <w:rFonts w:hint="eastAsia" w:ascii="黑体" w:hAnsi="黑体" w:eastAsia="黑体"/>
                <w:sz w:val="24"/>
              </w:rPr>
              <w:t>布局情况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1</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心血管系统疾病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冠心病、心律失常、高血压等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2</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神经系统疾病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脑卒中、颅内出血、癫痫等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3</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恶性肿瘤</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肺癌、乳腺癌、胃癌、肝癌等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4</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呼吸系统疾病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慢性阻塞性肺气肿、哮喘、肺炎等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5</w:t>
            </w:r>
          </w:p>
        </w:tc>
        <w:tc>
          <w:tcPr>
            <w:tcW w:w="2385"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糖尿病与代谢疾病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2型糖尿病，自身免疫性糖尿病等</w:t>
            </w:r>
            <w:r>
              <w:rPr>
                <w:sz w:val="24"/>
              </w:rPr>
              <w:t>（</w:t>
            </w:r>
            <w:r>
              <w:rPr>
                <w:rFonts w:hint="eastAsia"/>
                <w:sz w:val="24"/>
              </w:rPr>
              <w:t>糖尿病</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甲状腺疾病、垂体瘤、</w:t>
            </w:r>
            <w:r>
              <w:rPr>
                <w:sz w:val="24"/>
              </w:rPr>
              <w:t>营养障碍、</w:t>
            </w:r>
            <w:r>
              <w:rPr>
                <w:rFonts w:hint="eastAsia"/>
                <w:sz w:val="24"/>
              </w:rPr>
              <w:t>肥胖等</w:t>
            </w:r>
            <w:r>
              <w:rPr>
                <w:sz w:val="24"/>
              </w:rPr>
              <w:t>（</w:t>
            </w:r>
            <w:r>
              <w:rPr>
                <w:rFonts w:hint="eastAsia"/>
                <w:sz w:val="24"/>
              </w:rPr>
              <w:t>内分泌疾病</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vAlign w:val="center"/>
          </w:tcPr>
          <w:p>
            <w:pPr>
              <w:spacing w:line="276" w:lineRule="auto"/>
              <w:ind w:firstLine="0" w:firstLineChars="0"/>
              <w:jc w:val="center"/>
              <w:rPr>
                <w:rFonts w:hint="eastAsia"/>
                <w:sz w:val="24"/>
              </w:rPr>
            </w:pPr>
            <w:r>
              <w:rPr>
                <w:rFonts w:hint="eastAsia"/>
                <w:sz w:val="24"/>
              </w:rPr>
              <w:t>6</w:t>
            </w:r>
          </w:p>
        </w:tc>
        <w:tc>
          <w:tcPr>
            <w:tcW w:w="2385" w:type="dxa"/>
            <w:tcBorders>
              <w:tl2br w:val="nil"/>
              <w:tr2bl w:val="nil"/>
            </w:tcBorders>
            <w:vAlign w:val="center"/>
          </w:tcPr>
          <w:p>
            <w:pPr>
              <w:spacing w:line="276" w:lineRule="auto"/>
              <w:ind w:firstLine="0" w:firstLineChars="0"/>
              <w:jc w:val="center"/>
              <w:rPr>
                <w:sz w:val="24"/>
              </w:rPr>
            </w:pPr>
            <w:r>
              <w:rPr>
                <w:rFonts w:hint="eastAsia"/>
                <w:sz w:val="24"/>
              </w:rPr>
              <w:t>精神心理疾病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r>
              <w:rPr>
                <w:rFonts w:hint="eastAsia"/>
                <w:sz w:val="24"/>
              </w:rPr>
              <w:t>抑郁症、精神分裂症</w:t>
            </w:r>
            <w:r>
              <w:rPr>
                <w:sz w:val="24"/>
              </w:rPr>
              <w:t>、</w:t>
            </w:r>
            <w:r>
              <w:rPr>
                <w:rFonts w:hint="eastAsia"/>
                <w:sz w:val="24"/>
              </w:rPr>
              <w:t>睡眠障碍等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restart"/>
            <w:tcBorders>
              <w:tl2br w:val="nil"/>
              <w:tr2bl w:val="nil"/>
            </w:tcBorders>
            <w:vAlign w:val="center"/>
          </w:tcPr>
          <w:p>
            <w:pPr>
              <w:spacing w:line="276" w:lineRule="auto"/>
              <w:ind w:firstLine="0" w:firstLineChars="0"/>
              <w:jc w:val="center"/>
              <w:rPr>
                <w:rFonts w:hint="eastAsia"/>
                <w:sz w:val="24"/>
              </w:rPr>
            </w:pPr>
            <w:r>
              <w:rPr>
                <w:rFonts w:hint="eastAsia"/>
                <w:sz w:val="24"/>
              </w:rPr>
              <w:t>7</w:t>
            </w:r>
          </w:p>
        </w:tc>
        <w:tc>
          <w:tcPr>
            <w:tcW w:w="2385" w:type="dxa"/>
            <w:vMerge w:val="restart"/>
            <w:tcBorders>
              <w:tl2br w:val="nil"/>
              <w:tr2bl w:val="nil"/>
            </w:tcBorders>
            <w:vAlign w:val="center"/>
          </w:tcPr>
          <w:p>
            <w:pPr>
              <w:spacing w:line="276" w:lineRule="auto"/>
              <w:ind w:firstLine="0" w:firstLineChars="0"/>
              <w:jc w:val="center"/>
              <w:rPr>
                <w:rFonts w:hint="eastAsia"/>
                <w:sz w:val="24"/>
              </w:rPr>
            </w:pPr>
            <w:r>
              <w:rPr>
                <w:rFonts w:hint="eastAsia"/>
                <w:sz w:val="24"/>
              </w:rPr>
              <w:t>感染性疾病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r>
              <w:rPr>
                <w:rFonts w:hint="eastAsia"/>
                <w:sz w:val="24"/>
              </w:rPr>
              <w:t>艾滋病</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rFonts w:hint="eastAsia"/>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r>
              <w:rPr>
                <w:rFonts w:hint="eastAsia"/>
                <w:sz w:val="24"/>
              </w:rPr>
              <w:t>病毒性肝炎</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rFonts w:hint="eastAsia"/>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r>
              <w:rPr>
                <w:rFonts w:hint="eastAsia"/>
                <w:sz w:val="24"/>
              </w:rPr>
              <w:t>结核病</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rFonts w:hint="eastAsia"/>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r>
              <w:rPr>
                <w:rFonts w:hint="eastAsia"/>
                <w:sz w:val="24"/>
              </w:rPr>
              <w:t>血吸虫</w:t>
            </w:r>
            <w:r>
              <w:rPr>
                <w:sz w:val="24"/>
              </w:rPr>
              <w:t>等寄生虫病</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rFonts w:hint="eastAsia"/>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r>
              <w:rPr>
                <w:rFonts w:hint="eastAsia"/>
                <w:sz w:val="24"/>
              </w:rPr>
              <w:t>细菌和真菌类疾病</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vAlign w:val="center"/>
          </w:tcPr>
          <w:p>
            <w:pPr>
              <w:spacing w:line="276" w:lineRule="auto"/>
              <w:ind w:firstLine="0" w:firstLineChars="0"/>
              <w:jc w:val="center"/>
              <w:rPr>
                <w:rFonts w:hint="eastAsia"/>
                <w:sz w:val="24"/>
              </w:rPr>
            </w:pPr>
            <w:r>
              <w:rPr>
                <w:rFonts w:hint="eastAsia"/>
                <w:sz w:val="24"/>
              </w:rPr>
              <w:t>8</w:t>
            </w:r>
          </w:p>
        </w:tc>
        <w:tc>
          <w:tcPr>
            <w:tcW w:w="2385" w:type="dxa"/>
            <w:tcBorders>
              <w:tl2br w:val="nil"/>
              <w:tr2bl w:val="nil"/>
            </w:tcBorders>
            <w:vAlign w:val="center"/>
          </w:tcPr>
          <w:p>
            <w:pPr>
              <w:spacing w:line="276" w:lineRule="auto"/>
              <w:ind w:firstLine="0" w:firstLineChars="0"/>
              <w:jc w:val="center"/>
              <w:rPr>
                <w:rFonts w:hint="eastAsia"/>
                <w:sz w:val="24"/>
              </w:rPr>
            </w:pPr>
            <w:r>
              <w:rPr>
                <w:rFonts w:hint="eastAsia"/>
                <w:sz w:val="24"/>
              </w:rPr>
              <w:t>老年疾病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r>
              <w:rPr>
                <w:rFonts w:hint="eastAsia"/>
                <w:sz w:val="24"/>
              </w:rPr>
              <w:t>帕金森、老年痴呆、老年</w:t>
            </w:r>
            <w:r>
              <w:rPr>
                <w:sz w:val="24"/>
              </w:rPr>
              <w:t>共病</w:t>
            </w:r>
            <w:r>
              <w:rPr>
                <w:rFonts w:hint="eastAsia"/>
                <w:sz w:val="24"/>
              </w:rPr>
              <w:t>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9</w:t>
            </w:r>
          </w:p>
        </w:tc>
        <w:tc>
          <w:tcPr>
            <w:tcW w:w="2385"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肾病与泌尿系统</w:t>
            </w:r>
            <w:r>
              <w:rPr>
                <w:sz w:val="24"/>
              </w:rPr>
              <w:t>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慢性肾小球肾炎、肾病综合征、慢性肾功能衰竭等</w:t>
            </w:r>
            <w:r>
              <w:rPr>
                <w:sz w:val="24"/>
              </w:rPr>
              <w:t>（</w:t>
            </w:r>
            <w:r>
              <w:rPr>
                <w:rFonts w:hint="eastAsia"/>
                <w:sz w:val="24"/>
              </w:rPr>
              <w:t>肾病</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前列腺疾病、泌尿系统感染、泌尿系统肿瘤、泌尿系统结石等</w:t>
            </w:r>
            <w:r>
              <w:rPr>
                <w:sz w:val="24"/>
              </w:rPr>
              <w:t>（</w:t>
            </w:r>
            <w:r>
              <w:rPr>
                <w:rFonts w:hint="eastAsia"/>
                <w:sz w:val="24"/>
              </w:rPr>
              <w:t>泌尿系统</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10</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妇产疾病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子宫肌瘤、卵巢囊肿、子宫内膜异位等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11</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消化系统疾病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消化道早癌、炎症性肠病、肝硬化、胰腺炎等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12</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口腔疾病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r>
              <w:rPr>
                <w:rFonts w:hint="eastAsia"/>
                <w:sz w:val="24"/>
              </w:rPr>
              <w:t>口腔颌面肿瘤、口腔颌面损伤、牙周病等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已布局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13</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儿童健康与疾病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sz w:val="24"/>
              </w:rPr>
              <w:t>儿童</w:t>
            </w:r>
            <w:r>
              <w:rPr>
                <w:rFonts w:hint="eastAsia"/>
                <w:sz w:val="24"/>
              </w:rPr>
              <w:t>健康和儿童疾病</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14</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出生缺陷与罕见病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sz w:val="24"/>
              </w:rPr>
              <w:t>结构性出生缺陷、</w:t>
            </w:r>
            <w:r>
              <w:rPr>
                <w:rFonts w:hint="eastAsia"/>
                <w:sz w:val="24"/>
              </w:rPr>
              <w:t>遗传代谢病等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15</w:t>
            </w:r>
          </w:p>
        </w:tc>
        <w:tc>
          <w:tcPr>
            <w:tcW w:w="2385"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骨科与运动康复</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腰椎间盘突出、颈椎病、创伤、骨科退行性疾病等</w:t>
            </w:r>
            <w:r>
              <w:rPr>
                <w:sz w:val="24"/>
              </w:rPr>
              <w:t>（</w:t>
            </w:r>
            <w:r>
              <w:rPr>
                <w:rFonts w:hint="eastAsia"/>
                <w:sz w:val="24"/>
              </w:rPr>
              <w:t>骨科疾病</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运动康复、神经康复等</w:t>
            </w:r>
            <w:r>
              <w:rPr>
                <w:sz w:val="24"/>
              </w:rPr>
              <w:t>（</w:t>
            </w:r>
            <w:r>
              <w:rPr>
                <w:rFonts w:hint="eastAsia"/>
                <w:sz w:val="24"/>
              </w:rPr>
              <w:t>康复</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16</w:t>
            </w:r>
          </w:p>
        </w:tc>
        <w:tc>
          <w:tcPr>
            <w:tcW w:w="2385"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眼耳鼻喉疾病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白内障、青光眼、屈光不正等</w:t>
            </w:r>
            <w:r>
              <w:rPr>
                <w:sz w:val="24"/>
              </w:rPr>
              <w:t>（</w:t>
            </w:r>
            <w:r>
              <w:rPr>
                <w:rFonts w:hint="eastAsia"/>
                <w:sz w:val="24"/>
              </w:rPr>
              <w:t>眼部疾病</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sz w:val="24"/>
              </w:rPr>
              <w:t>耳聋</w:t>
            </w:r>
            <w:r>
              <w:rPr>
                <w:rFonts w:hint="eastAsia"/>
                <w:sz w:val="24"/>
              </w:rPr>
              <w:t>等</w:t>
            </w:r>
            <w:r>
              <w:rPr>
                <w:sz w:val="24"/>
              </w:rPr>
              <w:t>（</w:t>
            </w:r>
            <w:r>
              <w:rPr>
                <w:rFonts w:hint="eastAsia"/>
                <w:sz w:val="24"/>
              </w:rPr>
              <w:t>耳鼻咽喉疾病</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17</w:t>
            </w:r>
          </w:p>
        </w:tc>
        <w:tc>
          <w:tcPr>
            <w:tcW w:w="2385"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皮肤与免疫</w:t>
            </w:r>
            <w:r>
              <w:rPr>
                <w:sz w:val="24"/>
              </w:rPr>
              <w:t>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皮肤肿瘤、免疫相关皮肤病、性病等</w:t>
            </w:r>
            <w:r>
              <w:rPr>
                <w:sz w:val="24"/>
              </w:rPr>
              <w:t>（</w:t>
            </w:r>
            <w:r>
              <w:rPr>
                <w:rFonts w:hint="eastAsia"/>
                <w:sz w:val="24"/>
              </w:rPr>
              <w:t>皮肤</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系统性红斑狼疮、类风湿</w:t>
            </w:r>
            <w:r>
              <w:rPr>
                <w:sz w:val="24"/>
              </w:rPr>
              <w:t>性关节炎、</w:t>
            </w:r>
            <w:r>
              <w:rPr>
                <w:rFonts w:hint="eastAsia"/>
                <w:sz w:val="24"/>
              </w:rPr>
              <w:t>过敏性</w:t>
            </w:r>
            <w:r>
              <w:rPr>
                <w:sz w:val="24"/>
              </w:rPr>
              <w:t>疾病</w:t>
            </w:r>
            <w:r>
              <w:rPr>
                <w:rFonts w:hint="eastAsia"/>
                <w:sz w:val="24"/>
              </w:rPr>
              <w:t>等</w:t>
            </w:r>
            <w:r>
              <w:rPr>
                <w:sz w:val="24"/>
              </w:rPr>
              <w:t>（</w:t>
            </w:r>
            <w:r>
              <w:rPr>
                <w:rFonts w:hint="eastAsia"/>
                <w:sz w:val="24"/>
              </w:rPr>
              <w:t>免疫疾病</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18</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血液系统疾病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白血病、贫血等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19</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职业病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职业性尘肺病、化学中毒、放射性损伤疾病等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20</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地方病</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包虫病、大骨节病、地中海贫血等</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21</w:t>
            </w:r>
          </w:p>
        </w:tc>
        <w:tc>
          <w:tcPr>
            <w:tcW w:w="2385"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中医</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心血管疾病、神经系统疾病、恶性肿瘤</w:t>
            </w:r>
            <w:r>
              <w:rPr>
                <w:sz w:val="24"/>
              </w:rPr>
              <w:t>、</w:t>
            </w:r>
            <w:r>
              <w:rPr>
                <w:rFonts w:hint="eastAsia"/>
                <w:sz w:val="24"/>
              </w:rPr>
              <w:t>代谢</w:t>
            </w:r>
            <w:r>
              <w:rPr>
                <w:sz w:val="24"/>
              </w:rPr>
              <w:t>性疾病</w:t>
            </w:r>
            <w:r>
              <w:rPr>
                <w:rFonts w:hint="eastAsia"/>
                <w:sz w:val="24"/>
              </w:rPr>
              <w:t>等</w:t>
            </w:r>
            <w:r>
              <w:rPr>
                <w:sz w:val="24"/>
              </w:rPr>
              <w:t>（</w:t>
            </w:r>
            <w:r>
              <w:rPr>
                <w:rFonts w:hint="eastAsia"/>
                <w:sz w:val="24"/>
              </w:rPr>
              <w:t>重大慢病</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妇科、皮肤、免疫等</w:t>
            </w:r>
            <w:r>
              <w:rPr>
                <w:sz w:val="24"/>
              </w:rPr>
              <w:t>（</w:t>
            </w:r>
            <w:r>
              <w:rPr>
                <w:rFonts w:hint="eastAsia"/>
                <w:sz w:val="24"/>
              </w:rPr>
              <w:t>优势病种</w:t>
            </w:r>
            <w:r>
              <w:rPr>
                <w:sz w:val="24"/>
              </w:rPr>
              <w:t>）</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vAlign w:val="center"/>
          </w:tcPr>
          <w:p>
            <w:pPr>
              <w:spacing w:line="276" w:lineRule="auto"/>
              <w:ind w:firstLine="0" w:firstLineChars="0"/>
              <w:jc w:val="center"/>
              <w:rPr>
                <w:sz w:val="24"/>
              </w:rPr>
            </w:pPr>
          </w:p>
        </w:tc>
        <w:tc>
          <w:tcPr>
            <w:tcW w:w="2385" w:type="dxa"/>
            <w:vMerge w:val="continue"/>
            <w:tcBorders>
              <w:tl2br w:val="nil"/>
              <w:tr2bl w:val="nil"/>
            </w:tcBorders>
            <w:vAlign w:val="center"/>
          </w:tcPr>
          <w:p>
            <w:pPr>
              <w:spacing w:line="276" w:lineRule="auto"/>
              <w:ind w:firstLine="0" w:firstLineChars="0"/>
              <w:jc w:val="center"/>
              <w:rPr>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针灸、其他非药物疗</w:t>
            </w:r>
            <w:r>
              <w:rPr>
                <w:sz w:val="24"/>
              </w:rPr>
              <w:t>法</w:t>
            </w:r>
            <w:r>
              <w:rPr>
                <w:rFonts w:hint="eastAsia"/>
                <w:sz w:val="24"/>
              </w:rPr>
              <w:t>等（特色疗法）</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sz w:val="24"/>
              </w:rPr>
              <w:t>22</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影像医学</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23</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医学检验</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vAlign w:val="center"/>
          </w:tcPr>
          <w:p>
            <w:pPr>
              <w:spacing w:line="276" w:lineRule="auto"/>
              <w:ind w:firstLine="0" w:firstLineChars="0"/>
              <w:jc w:val="center"/>
              <w:rPr>
                <w:rFonts w:hint="eastAsia"/>
                <w:sz w:val="24"/>
              </w:rPr>
            </w:pPr>
            <w:r>
              <w:rPr>
                <w:rFonts w:hint="eastAsia"/>
                <w:sz w:val="24"/>
              </w:rPr>
              <w:t>24</w:t>
            </w:r>
          </w:p>
        </w:tc>
        <w:tc>
          <w:tcPr>
            <w:tcW w:w="2385" w:type="dxa"/>
            <w:tcBorders>
              <w:tl2br w:val="nil"/>
              <w:tr2bl w:val="nil"/>
            </w:tcBorders>
            <w:vAlign w:val="center"/>
          </w:tcPr>
          <w:p>
            <w:pPr>
              <w:spacing w:line="276" w:lineRule="auto"/>
              <w:ind w:firstLine="0" w:firstLineChars="0"/>
              <w:jc w:val="center"/>
              <w:rPr>
                <w:rFonts w:hint="eastAsia"/>
                <w:sz w:val="24"/>
              </w:rPr>
            </w:pPr>
            <w:r>
              <w:rPr>
                <w:rFonts w:hint="eastAsia"/>
                <w:sz w:val="24"/>
              </w:rPr>
              <w:t>病理诊断</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25</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麻醉医学</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rFonts w:hint="eastAsia"/>
                <w:sz w:val="24"/>
              </w:rPr>
            </w:pP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26</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急危重症</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27</w:t>
            </w:r>
          </w:p>
        </w:tc>
        <w:tc>
          <w:tcPr>
            <w:tcW w:w="2385" w:type="dxa"/>
            <w:vMerge w:val="restart"/>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放射</w:t>
            </w:r>
            <w:r>
              <w:rPr>
                <w:sz w:val="24"/>
              </w:rPr>
              <w:t>与治疗</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rFonts w:hint="eastAsia"/>
                <w:sz w:val="24"/>
              </w:rPr>
              <w:t>介入</w:t>
            </w:r>
            <w:r>
              <w:rPr>
                <w:sz w:val="24"/>
              </w:rPr>
              <w:t>治疗</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p>
        </w:tc>
        <w:tc>
          <w:tcPr>
            <w:tcW w:w="2385" w:type="dxa"/>
            <w:vMerge w:val="continue"/>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sz w:val="24"/>
              </w:rPr>
              <w:t>生物治疗</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vMerge w:val="continue"/>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p>
        </w:tc>
        <w:tc>
          <w:tcPr>
            <w:tcW w:w="2385" w:type="dxa"/>
            <w:vMerge w:val="continue"/>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r>
              <w:rPr>
                <w:sz w:val="24"/>
              </w:rPr>
              <w:t>放射治疗</w:t>
            </w: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54" w:hRule="atLeast"/>
          <w:jc w:val="center"/>
        </w:trPr>
        <w:tc>
          <w:tcPr>
            <w:tcW w:w="827" w:type="dxa"/>
            <w:tcBorders>
              <w:tl2br w:val="nil"/>
              <w:tr2bl w:val="nil"/>
            </w:tcBorders>
            <w:tcMar>
              <w:top w:w="60" w:type="dxa"/>
              <w:left w:w="60" w:type="dxa"/>
              <w:bottom w:w="60" w:type="dxa"/>
              <w:right w:w="60" w:type="dxa"/>
            </w:tcMar>
            <w:vAlign w:val="center"/>
          </w:tcPr>
          <w:p>
            <w:pPr>
              <w:spacing w:line="276" w:lineRule="auto"/>
              <w:ind w:firstLine="0" w:firstLineChars="0"/>
              <w:jc w:val="center"/>
              <w:rPr>
                <w:rFonts w:hint="eastAsia"/>
                <w:sz w:val="24"/>
              </w:rPr>
            </w:pPr>
            <w:r>
              <w:rPr>
                <w:rFonts w:hint="eastAsia"/>
                <w:sz w:val="24"/>
              </w:rPr>
              <w:t>28</w:t>
            </w:r>
          </w:p>
        </w:tc>
        <w:tc>
          <w:tcPr>
            <w:tcW w:w="238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医学营养</w:t>
            </w:r>
          </w:p>
        </w:tc>
        <w:tc>
          <w:tcPr>
            <w:tcW w:w="5190" w:type="dxa"/>
            <w:tcBorders>
              <w:tl2br w:val="nil"/>
              <w:tr2bl w:val="nil"/>
            </w:tcBorders>
            <w:tcMar>
              <w:top w:w="60" w:type="dxa"/>
              <w:left w:w="60" w:type="dxa"/>
              <w:bottom w:w="60" w:type="dxa"/>
              <w:right w:w="60" w:type="dxa"/>
            </w:tcMar>
            <w:vAlign w:val="center"/>
          </w:tcPr>
          <w:p>
            <w:pPr>
              <w:spacing w:line="276" w:lineRule="auto"/>
              <w:ind w:firstLine="0" w:firstLineChars="0"/>
              <w:rPr>
                <w:sz w:val="24"/>
              </w:rPr>
            </w:pPr>
          </w:p>
        </w:tc>
        <w:tc>
          <w:tcPr>
            <w:tcW w:w="1395" w:type="dxa"/>
            <w:tcBorders>
              <w:tl2br w:val="nil"/>
              <w:tr2bl w:val="nil"/>
            </w:tcBorders>
            <w:tcMar>
              <w:top w:w="60" w:type="dxa"/>
              <w:left w:w="60" w:type="dxa"/>
              <w:bottom w:w="60" w:type="dxa"/>
              <w:right w:w="60" w:type="dxa"/>
            </w:tcMar>
            <w:vAlign w:val="center"/>
          </w:tcPr>
          <w:p>
            <w:pPr>
              <w:spacing w:line="276" w:lineRule="auto"/>
              <w:ind w:firstLine="0" w:firstLineChars="0"/>
              <w:jc w:val="center"/>
              <w:rPr>
                <w:sz w:val="24"/>
              </w:rPr>
            </w:pPr>
            <w:r>
              <w:rPr>
                <w:rFonts w:hint="eastAsia"/>
                <w:sz w:val="24"/>
              </w:rPr>
              <w:t>未布局</w:t>
            </w:r>
          </w:p>
        </w:tc>
      </w:tr>
    </w:tbl>
    <w:p>
      <w:pPr>
        <w:spacing w:before="78" w:beforeLines="25" w:line="276" w:lineRule="auto"/>
        <w:ind w:left="160" w:leftChars="50" w:right="160" w:rightChars="50" w:firstLine="0" w:firstLineChars="0"/>
        <w:rPr>
          <w:rFonts w:hint="eastAsia" w:ascii="仿宋" w:hAnsi="仿宋" w:eastAsia="仿宋" w:cs="仿宋"/>
          <w:sz w:val="24"/>
        </w:rPr>
      </w:pPr>
      <w:r>
        <w:rPr>
          <w:rFonts w:hint="eastAsia" w:ascii="仿宋" w:hAnsi="仿宋" w:eastAsia="仿宋" w:cs="仿宋"/>
          <w:sz w:val="24"/>
        </w:rPr>
        <w:t>注：此表是结合“十三五”前期战略研究，综合考虑国务院重大疾病防控任务要求，参考《中华人民共和国国家标准-疾病分类与代码》、《中国卫生统计年鉴》，以及结合美国国立卫生研究院（NIH）的各机构布局、日本疾病相关战略研究中的疾病分类综合而成。</w:t>
      </w:r>
    </w:p>
    <w:p>
      <w:pPr>
        <w:spacing w:line="276" w:lineRule="auto"/>
        <w:ind w:left="160" w:leftChars="50" w:right="160" w:rightChars="50" w:firstLine="0" w:firstLineChars="0"/>
        <w:rPr>
          <w:rFonts w:eastAsia="楷体_GB2312"/>
          <w:sz w:val="24"/>
        </w:rPr>
      </w:pPr>
    </w:p>
    <w:p>
      <w:pPr>
        <w:spacing w:before="156" w:beforeLines="50" w:line="360" w:lineRule="auto"/>
        <w:ind w:firstLine="0" w:firstLineChars="0"/>
        <w:jc w:val="left"/>
        <w:outlineLvl w:val="2"/>
      </w:pPr>
    </w:p>
    <w:bookmarkEnd w:id="49"/>
    <w:sectPr>
      <w:headerReference r:id="rId4" w:type="first"/>
      <w:footerReference r:id="rId7" w:type="first"/>
      <w:footerReference r:id="rId5" w:type="default"/>
      <w:headerReference r:id="rId3" w:type="even"/>
      <w:footerReference r:id="rId6"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长城小标宋体">
    <w:altName w:val="微软雅黑"/>
    <w:panose1 w:val="00000000000000000000"/>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4B"/>
    <w:rsid w:val="000C4E4B"/>
    <w:rsid w:val="0036149A"/>
    <w:rsid w:val="003B7EE4"/>
    <w:rsid w:val="008339C9"/>
    <w:rsid w:val="008B3539"/>
    <w:rsid w:val="00902DB8"/>
    <w:rsid w:val="00C91BB7"/>
    <w:rsid w:val="00F27BA5"/>
    <w:rsid w:val="29832805"/>
    <w:rsid w:val="5D660CBD"/>
    <w:rsid w:val="7DFE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53" w:lineRule="auto"/>
      <w:ind w:firstLine="576"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8"/>
    <w:qFormat/>
    <w:uiPriority w:val="0"/>
    <w:pPr>
      <w:outlineLvl w:val="0"/>
    </w:pPr>
    <w:rPr>
      <w:rFonts w:eastAsia="黑体"/>
    </w:rPr>
  </w:style>
  <w:style w:type="paragraph" w:styleId="3">
    <w:name w:val="heading 2"/>
    <w:basedOn w:val="1"/>
    <w:next w:val="1"/>
    <w:link w:val="9"/>
    <w:qFormat/>
    <w:uiPriority w:val="0"/>
    <w:pPr>
      <w:outlineLvl w:val="1"/>
    </w:pPr>
    <w:rPr>
      <w:rFonts w:eastAsia="楷体_GB231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pacing w:line="240"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pacing w:line="240" w:lineRule="auto"/>
      <w:jc w:val="center"/>
    </w:pPr>
    <w:rPr>
      <w:sz w:val="18"/>
      <w:szCs w:val="18"/>
    </w:rPr>
  </w:style>
  <w:style w:type="character" w:customStyle="1" w:styleId="8">
    <w:name w:val="标题 1 字符"/>
    <w:basedOn w:val="7"/>
    <w:link w:val="2"/>
    <w:qFormat/>
    <w:uiPriority w:val="0"/>
    <w:rPr>
      <w:rFonts w:ascii="Times New Roman" w:hAnsi="Times New Roman" w:eastAsia="黑体" w:cs="Times New Roman"/>
      <w:sz w:val="32"/>
      <w:szCs w:val="32"/>
    </w:rPr>
  </w:style>
  <w:style w:type="character" w:customStyle="1" w:styleId="9">
    <w:name w:val="标题 2 字符"/>
    <w:basedOn w:val="7"/>
    <w:link w:val="3"/>
    <w:qFormat/>
    <w:uiPriority w:val="0"/>
    <w:rPr>
      <w:rFonts w:ascii="Times New Roman" w:hAnsi="Times New Roman" w:eastAsia="楷体_GB2312" w:cs="Times New Roman"/>
      <w:sz w:val="32"/>
      <w:szCs w:val="32"/>
    </w:rPr>
  </w:style>
  <w:style w:type="character" w:customStyle="1" w:styleId="10">
    <w:name w:val="页眉 字符"/>
    <w:basedOn w:val="7"/>
    <w:link w:val="5"/>
    <w:qFormat/>
    <w:uiPriority w:val="99"/>
    <w:rPr>
      <w:rFonts w:ascii="Times New Roman" w:hAnsi="Times New Roman" w:eastAsia="仿宋_GB2312" w:cs="Times New Roman"/>
      <w:sz w:val="18"/>
      <w:szCs w:val="18"/>
    </w:rPr>
  </w:style>
  <w:style w:type="character" w:customStyle="1" w:styleId="11">
    <w:name w:val="页脚 字符"/>
    <w:basedOn w:val="7"/>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1197</Words>
  <Characters>6823</Characters>
  <Lines>56</Lines>
  <Paragraphs>16</Paragraphs>
  <TotalTime>21</TotalTime>
  <ScaleCrop>false</ScaleCrop>
  <LinksUpToDate>false</LinksUpToDate>
  <CharactersWithSpaces>8004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2017-07-21T07:36:00Z</dcterms:created>
  <dc:creator>李晔</dc:creator>
  <cp:lastModifiedBy>携手共进</cp:lastModifiedBy>
  <dcterms:modified xsi:type="dcterms:W3CDTF">2020-06-10T13:56:29Z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